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4A0" w:firstRow="1" w:lastRow="0" w:firstColumn="1" w:lastColumn="0" w:noHBand="0" w:noVBand="1"/>
      </w:tblPr>
      <w:tblGrid>
        <w:gridCol w:w="7566"/>
        <w:gridCol w:w="2298"/>
      </w:tblGrid>
      <w:tr w:rsidR="005C3F5F" w:rsidRPr="00CD3F3B" w14:paraId="6F19B859" w14:textId="77777777">
        <w:tc>
          <w:tcPr>
            <w:tcW w:w="3835" w:type="pct"/>
          </w:tcPr>
          <w:p w14:paraId="50FF9306" w14:textId="77777777" w:rsidR="005C3F5F" w:rsidRPr="00355137" w:rsidRDefault="00B86E31">
            <w:pPr>
              <w:rPr>
                <w:rFonts w:ascii="Arial" w:eastAsia="Malgun Gothic" w:hAnsi="Arial" w:cs="Arial"/>
                <w:b/>
                <w:color w:val="19488C"/>
                <w:spacing w:val="20"/>
                <w:kern w:val="28"/>
                <w:lang w:val="en-US"/>
              </w:rPr>
            </w:pPr>
            <w:r w:rsidRPr="00355137">
              <w:rPr>
                <w:rFonts w:ascii="Arial" w:hAnsi="Arial" w:cs="Arial"/>
                <w:b/>
                <w:color w:val="19488C"/>
                <w:spacing w:val="20"/>
                <w:kern w:val="28"/>
                <w:lang w:val="en-US"/>
              </w:rPr>
              <w:t>Agreement</w:t>
            </w:r>
          </w:p>
        </w:tc>
        <w:tc>
          <w:tcPr>
            <w:tcW w:w="1165" w:type="pct"/>
          </w:tcPr>
          <w:p w14:paraId="77B8296A" w14:textId="111DEEA1" w:rsidR="005C3F5F" w:rsidRPr="00CD3F3B" w:rsidRDefault="00940891">
            <w:pPr>
              <w:tabs>
                <w:tab w:val="left" w:pos="646"/>
              </w:tabs>
              <w:jc w:val="right"/>
              <w:rPr>
                <w:rFonts w:cs="Calibri"/>
                <w:sz w:val="20"/>
                <w:lang w:val="en-US"/>
              </w:rPr>
            </w:pPr>
            <w:r w:rsidRPr="00CD3F3B">
              <w:rPr>
                <w:rFonts w:cs="Calibri"/>
                <w:noProof/>
                <w:snapToGrid/>
                <w:lang w:val="en-US"/>
              </w:rPr>
              <w:drawing>
                <wp:anchor distT="0" distB="0" distL="114300" distR="114300" simplePos="0" relativeHeight="251656704" behindDoc="1" locked="0" layoutInCell="1" allowOverlap="1" wp14:anchorId="6080DB48" wp14:editId="7F418F28">
                  <wp:simplePos x="0" y="0"/>
                  <wp:positionH relativeFrom="column">
                    <wp:posOffset>247650</wp:posOffset>
                  </wp:positionH>
                  <wp:positionV relativeFrom="page">
                    <wp:posOffset>-2540</wp:posOffset>
                  </wp:positionV>
                  <wp:extent cx="1144905" cy="24828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11794" t="30518" r="12254" b="33659"/>
                          <a:stretch>
                            <a:fillRect/>
                          </a:stretch>
                        </pic:blipFill>
                        <pic:spPr bwMode="auto">
                          <a:xfrm>
                            <a:off x="0" y="0"/>
                            <a:ext cx="1144905" cy="248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C3F5F" w:rsidRPr="00CD3F3B" w14:paraId="0129CC3E" w14:textId="77777777">
        <w:trPr>
          <w:trHeight w:val="397"/>
        </w:trPr>
        <w:tc>
          <w:tcPr>
            <w:tcW w:w="3835" w:type="pct"/>
            <w:vAlign w:val="center"/>
          </w:tcPr>
          <w:p w14:paraId="48C21D73" w14:textId="77777777" w:rsidR="005C3F5F" w:rsidRPr="00355137" w:rsidRDefault="00B86E31">
            <w:pPr>
              <w:rPr>
                <w:rFonts w:ascii="Arial" w:hAnsi="Arial" w:cs="Arial"/>
                <w:color w:val="19488C"/>
                <w:spacing w:val="15"/>
                <w:sz w:val="22"/>
                <w:lang w:val="en-US"/>
              </w:rPr>
            </w:pPr>
            <w:r w:rsidRPr="00355137">
              <w:rPr>
                <w:rFonts w:ascii="Arial" w:hAnsi="Arial" w:cs="Arial"/>
                <w:color w:val="19488C"/>
                <w:spacing w:val="15"/>
                <w:sz w:val="22"/>
                <w:lang w:val="en-US"/>
              </w:rPr>
              <w:t>on investment services</w:t>
            </w:r>
            <w:r w:rsidR="005C3F5F" w:rsidRPr="00355137">
              <w:rPr>
                <w:rFonts w:ascii="Arial" w:hAnsi="Arial" w:cs="Arial"/>
                <w:color w:val="19488C"/>
                <w:spacing w:val="15"/>
                <w:sz w:val="22"/>
                <w:lang w:val="en-US"/>
              </w:rPr>
              <w:t xml:space="preserve"> - </w:t>
            </w:r>
            <w:r w:rsidRPr="00355137">
              <w:rPr>
                <w:rFonts w:ascii="Arial" w:hAnsi="Arial" w:cs="Arial"/>
                <w:color w:val="19488C"/>
                <w:spacing w:val="15"/>
                <w:sz w:val="22"/>
                <w:lang w:val="en-US"/>
              </w:rPr>
              <w:t>individual</w:t>
            </w:r>
          </w:p>
        </w:tc>
        <w:tc>
          <w:tcPr>
            <w:tcW w:w="1165" w:type="pct"/>
            <w:vAlign w:val="bottom"/>
          </w:tcPr>
          <w:p w14:paraId="59F0AD00" w14:textId="77777777" w:rsidR="005C3F5F" w:rsidRPr="00CD3F3B" w:rsidRDefault="005C3F5F">
            <w:pPr>
              <w:jc w:val="right"/>
              <w:rPr>
                <w:rFonts w:cs="Calibri"/>
                <w:sz w:val="18"/>
                <w:lang w:val="en-US"/>
              </w:rPr>
            </w:pPr>
          </w:p>
        </w:tc>
      </w:tr>
    </w:tbl>
    <w:p w14:paraId="3B8D27F0" w14:textId="77777777" w:rsidR="005C3F5F" w:rsidRPr="00CD3F3B" w:rsidRDefault="005C3F5F">
      <w:pPr>
        <w:rPr>
          <w:rFonts w:cs="Calibri"/>
          <w:sz w:val="16"/>
          <w:lang w:val="en-US"/>
        </w:rPr>
      </w:pPr>
    </w:p>
    <w:tbl>
      <w:tblPr>
        <w:tblStyle w:val="TableGrid"/>
        <w:tblW w:w="49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277"/>
        <w:gridCol w:w="1473"/>
        <w:gridCol w:w="277"/>
        <w:gridCol w:w="622"/>
        <w:gridCol w:w="277"/>
        <w:gridCol w:w="2178"/>
      </w:tblGrid>
      <w:tr w:rsidR="00FC6A63" w14:paraId="6E62E953" w14:textId="77777777" w:rsidTr="00FC6A63">
        <w:trPr>
          <w:jc w:val="center"/>
        </w:trPr>
        <w:tc>
          <w:tcPr>
            <w:tcW w:w="3735" w:type="pct"/>
            <w:gridSpan w:val="5"/>
            <w:tcBorders>
              <w:top w:val="nil"/>
              <w:left w:val="nil"/>
              <w:bottom w:val="single" w:sz="2" w:space="0" w:color="auto"/>
              <w:right w:val="nil"/>
            </w:tcBorders>
            <w:hideMark/>
          </w:tcPr>
          <w:p w14:paraId="7DC49AEE" w14:textId="7EE473A0" w:rsidR="00FC6A63" w:rsidRDefault="00FE0AE2">
            <w:pPr>
              <w:pStyle w:val="NoSpacing"/>
              <w:jc w:val="both"/>
              <w:rPr>
                <w:rStyle w:val="SubtleEmphasis"/>
                <w:rFonts w:eastAsia="Malgun Gothic" w:cstheme="minorBidi"/>
                <w:lang w:val="en-US"/>
              </w:rPr>
            </w:pPr>
            <w:r>
              <w:rPr>
                <w:rStyle w:val="SubtleEmphasis"/>
                <w:rFonts w:eastAsia="Malgun Gothic" w:cstheme="minorBidi"/>
                <w:lang w:val="en-US"/>
              </w:rPr>
              <w:fldChar w:fldCharType="begin">
                <w:ffData>
                  <w:name w:val="NAFN1"/>
                  <w:enabled/>
                  <w:calcOnExit w:val="0"/>
                  <w:textInput>
                    <w:maxLength w:val="40"/>
                  </w:textInput>
                </w:ffData>
              </w:fldChar>
            </w:r>
            <w:bookmarkStart w:id="0" w:name="NAFN1"/>
            <w:r>
              <w:rPr>
                <w:rStyle w:val="SubtleEmphasis"/>
                <w:rFonts w:eastAsia="Malgun Gothic" w:cstheme="minorBidi"/>
                <w:lang w:val="en-US"/>
              </w:rPr>
              <w:instrText xml:space="preserve"> FORMTEXT </w:instrText>
            </w:r>
            <w:r>
              <w:rPr>
                <w:rStyle w:val="SubtleEmphasis"/>
                <w:rFonts w:eastAsia="Malgun Gothic" w:cstheme="minorBidi"/>
                <w:lang w:val="en-US"/>
              </w:rPr>
            </w:r>
            <w:r>
              <w:rPr>
                <w:rStyle w:val="SubtleEmphasis"/>
                <w:rFonts w:eastAsia="Malgun Gothic" w:cstheme="minorBidi"/>
                <w:lang w:val="en-US"/>
              </w:rPr>
              <w:fldChar w:fldCharType="separate"/>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lang w:val="en-US"/>
              </w:rPr>
              <w:fldChar w:fldCharType="end"/>
            </w:r>
            <w:bookmarkEnd w:id="0"/>
          </w:p>
        </w:tc>
        <w:tc>
          <w:tcPr>
            <w:tcW w:w="147" w:type="pct"/>
          </w:tcPr>
          <w:p w14:paraId="7A789937" w14:textId="77777777" w:rsidR="00FC6A63" w:rsidRDefault="00FC6A63">
            <w:pPr>
              <w:pStyle w:val="NoSpacing"/>
              <w:jc w:val="both"/>
              <w:rPr>
                <w:rStyle w:val="SubtleEmphasis"/>
                <w:rFonts w:eastAsia="Malgun Gothic" w:cstheme="minorBidi"/>
                <w:lang w:val="en-US"/>
              </w:rPr>
            </w:pPr>
          </w:p>
        </w:tc>
        <w:tc>
          <w:tcPr>
            <w:tcW w:w="1118" w:type="pct"/>
            <w:tcBorders>
              <w:top w:val="nil"/>
              <w:left w:val="nil"/>
              <w:bottom w:val="single" w:sz="2" w:space="0" w:color="auto"/>
              <w:right w:val="nil"/>
            </w:tcBorders>
            <w:hideMark/>
          </w:tcPr>
          <w:p w14:paraId="7F9ABD73" w14:textId="7C777FF5" w:rsidR="00FC6A63" w:rsidRDefault="00FE0AE2">
            <w:pPr>
              <w:pStyle w:val="NoSpacing"/>
              <w:jc w:val="both"/>
              <w:rPr>
                <w:rStyle w:val="SubtleEmphasis"/>
                <w:rFonts w:eastAsia="Malgun Gothic" w:cstheme="minorBidi"/>
                <w:lang w:val="en-US"/>
              </w:rPr>
            </w:pPr>
            <w:r>
              <w:rPr>
                <w:rStyle w:val="SubtleEmphasis"/>
                <w:rFonts w:eastAsia="Malgun Gothic" w:cstheme="minorBidi"/>
                <w:lang w:val="en-US"/>
              </w:rPr>
              <w:fldChar w:fldCharType="begin">
                <w:ffData>
                  <w:name w:val="KT1"/>
                  <w:enabled/>
                  <w:calcOnExit w:val="0"/>
                  <w:textInput>
                    <w:type w:val="number"/>
                    <w:maxLength w:val="11"/>
                    <w:format w:val="######-####"/>
                  </w:textInput>
                </w:ffData>
              </w:fldChar>
            </w:r>
            <w:bookmarkStart w:id="1" w:name="KT1"/>
            <w:r>
              <w:rPr>
                <w:rStyle w:val="SubtleEmphasis"/>
                <w:rFonts w:eastAsia="Malgun Gothic" w:cstheme="minorBidi"/>
                <w:lang w:val="en-US"/>
              </w:rPr>
              <w:instrText xml:space="preserve"> FORMTEXT </w:instrText>
            </w:r>
            <w:r>
              <w:rPr>
                <w:rStyle w:val="SubtleEmphasis"/>
                <w:rFonts w:eastAsia="Malgun Gothic" w:cstheme="minorBidi"/>
                <w:lang w:val="en-US"/>
              </w:rPr>
            </w:r>
            <w:r>
              <w:rPr>
                <w:rStyle w:val="SubtleEmphasis"/>
                <w:rFonts w:eastAsia="Malgun Gothic" w:cstheme="minorBidi"/>
                <w:lang w:val="en-US"/>
              </w:rPr>
              <w:fldChar w:fldCharType="separate"/>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lang w:val="en-US"/>
              </w:rPr>
              <w:fldChar w:fldCharType="end"/>
            </w:r>
            <w:bookmarkEnd w:id="1"/>
          </w:p>
        </w:tc>
      </w:tr>
      <w:tr w:rsidR="00FC6A63" w14:paraId="2015C21D" w14:textId="77777777" w:rsidTr="00FC6A63">
        <w:trPr>
          <w:jc w:val="center"/>
        </w:trPr>
        <w:tc>
          <w:tcPr>
            <w:tcW w:w="3735" w:type="pct"/>
            <w:gridSpan w:val="5"/>
            <w:tcBorders>
              <w:top w:val="single" w:sz="2" w:space="0" w:color="auto"/>
              <w:left w:val="nil"/>
              <w:bottom w:val="nil"/>
              <w:right w:val="nil"/>
            </w:tcBorders>
            <w:hideMark/>
          </w:tcPr>
          <w:p w14:paraId="639DFB6D" w14:textId="77777777" w:rsidR="00FC6A63" w:rsidRDefault="00FC6A63">
            <w:pPr>
              <w:pStyle w:val="NoSpacing"/>
              <w:jc w:val="both"/>
              <w:rPr>
                <w:rStyle w:val="Strong"/>
                <w:rFonts w:eastAsia="Malgun Gothic" w:cstheme="minorBidi"/>
              </w:rPr>
            </w:pPr>
            <w:r>
              <w:rPr>
                <w:rStyle w:val="Strong"/>
                <w:rFonts w:eastAsia="Malgun Gothic" w:cstheme="minorBidi"/>
                <w:lang w:val="en-US"/>
              </w:rPr>
              <w:t>Name</w:t>
            </w:r>
          </w:p>
        </w:tc>
        <w:tc>
          <w:tcPr>
            <w:tcW w:w="147" w:type="pct"/>
          </w:tcPr>
          <w:p w14:paraId="3EC3828D" w14:textId="77777777" w:rsidR="00FC6A63" w:rsidRDefault="00FC6A63">
            <w:pPr>
              <w:pStyle w:val="NoSpacing"/>
              <w:jc w:val="both"/>
              <w:rPr>
                <w:rStyle w:val="Strong"/>
                <w:rFonts w:eastAsia="Malgun Gothic" w:cstheme="minorBidi"/>
                <w:lang w:val="en-US"/>
              </w:rPr>
            </w:pPr>
          </w:p>
        </w:tc>
        <w:tc>
          <w:tcPr>
            <w:tcW w:w="1118" w:type="pct"/>
            <w:tcBorders>
              <w:top w:val="single" w:sz="2" w:space="0" w:color="auto"/>
              <w:left w:val="nil"/>
              <w:bottom w:val="nil"/>
              <w:right w:val="nil"/>
            </w:tcBorders>
            <w:hideMark/>
          </w:tcPr>
          <w:p w14:paraId="6D744206" w14:textId="77777777" w:rsidR="00FC6A63" w:rsidRDefault="00FC6A63">
            <w:pPr>
              <w:pStyle w:val="NoSpacing"/>
              <w:jc w:val="both"/>
              <w:rPr>
                <w:rStyle w:val="Strong"/>
                <w:rFonts w:eastAsia="Malgun Gothic" w:cstheme="minorBidi"/>
                <w:lang w:val="en-US"/>
              </w:rPr>
            </w:pPr>
            <w:r>
              <w:rPr>
                <w:rStyle w:val="Strong"/>
                <w:rFonts w:eastAsia="Malgun Gothic" w:cstheme="minorBidi"/>
                <w:lang w:val="en-US"/>
              </w:rPr>
              <w:t xml:space="preserve">ID. No. </w:t>
            </w:r>
          </w:p>
        </w:tc>
      </w:tr>
      <w:tr w:rsidR="00FC6A63" w14:paraId="3FB5A09E" w14:textId="77777777" w:rsidTr="00FC6A63">
        <w:trPr>
          <w:jc w:val="center"/>
        </w:trPr>
        <w:tc>
          <w:tcPr>
            <w:tcW w:w="2410" w:type="pct"/>
            <w:tcBorders>
              <w:top w:val="nil"/>
              <w:left w:val="nil"/>
              <w:bottom w:val="single" w:sz="2" w:space="0" w:color="auto"/>
              <w:right w:val="nil"/>
            </w:tcBorders>
            <w:hideMark/>
          </w:tcPr>
          <w:p w14:paraId="7DC49598" w14:textId="442716A7" w:rsidR="00FC6A63" w:rsidRDefault="00FE0AE2">
            <w:pPr>
              <w:pStyle w:val="NoSpacing"/>
              <w:jc w:val="both"/>
              <w:rPr>
                <w:rStyle w:val="SubtleEmphasis"/>
                <w:rFonts w:eastAsia="Malgun Gothic" w:cstheme="minorBidi"/>
              </w:rPr>
            </w:pPr>
            <w:r>
              <w:rPr>
                <w:rStyle w:val="SubtleEmphasis"/>
                <w:rFonts w:eastAsia="Malgun Gothic" w:cstheme="minorBidi"/>
                <w:lang w:val="en-US"/>
              </w:rPr>
              <w:fldChar w:fldCharType="begin">
                <w:ffData>
                  <w:name w:val="HEIMILI"/>
                  <w:enabled/>
                  <w:calcOnExit w:val="0"/>
                  <w:textInput>
                    <w:maxLength w:val="50"/>
                  </w:textInput>
                </w:ffData>
              </w:fldChar>
            </w:r>
            <w:bookmarkStart w:id="2" w:name="HEIMILI"/>
            <w:r>
              <w:rPr>
                <w:rStyle w:val="SubtleEmphasis"/>
                <w:rFonts w:eastAsia="Malgun Gothic" w:cstheme="minorBidi"/>
                <w:lang w:val="en-US"/>
              </w:rPr>
              <w:instrText xml:space="preserve"> FORMTEXT </w:instrText>
            </w:r>
            <w:r>
              <w:rPr>
                <w:rStyle w:val="SubtleEmphasis"/>
                <w:rFonts w:eastAsia="Malgun Gothic" w:cstheme="minorBidi"/>
                <w:lang w:val="en-US"/>
              </w:rPr>
            </w:r>
            <w:r>
              <w:rPr>
                <w:rStyle w:val="SubtleEmphasis"/>
                <w:rFonts w:eastAsia="Malgun Gothic" w:cstheme="minorBidi"/>
                <w:lang w:val="en-US"/>
              </w:rPr>
              <w:fldChar w:fldCharType="separate"/>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lang w:val="en-US"/>
              </w:rPr>
              <w:fldChar w:fldCharType="end"/>
            </w:r>
            <w:bookmarkEnd w:id="2"/>
          </w:p>
        </w:tc>
        <w:tc>
          <w:tcPr>
            <w:tcW w:w="123" w:type="pct"/>
          </w:tcPr>
          <w:p w14:paraId="79ABD7DC" w14:textId="77777777" w:rsidR="00FC6A63" w:rsidRDefault="00FC6A63">
            <w:pPr>
              <w:pStyle w:val="NoSpacing"/>
              <w:jc w:val="both"/>
              <w:rPr>
                <w:rStyle w:val="SubtleEmphasis"/>
                <w:rFonts w:eastAsia="Malgun Gothic" w:cstheme="minorBidi"/>
                <w:lang w:val="en-US"/>
              </w:rPr>
            </w:pPr>
          </w:p>
        </w:tc>
        <w:tc>
          <w:tcPr>
            <w:tcW w:w="758" w:type="pct"/>
            <w:tcBorders>
              <w:top w:val="nil"/>
              <w:left w:val="nil"/>
              <w:bottom w:val="single" w:sz="2" w:space="0" w:color="auto"/>
              <w:right w:val="nil"/>
            </w:tcBorders>
            <w:hideMark/>
          </w:tcPr>
          <w:p w14:paraId="508505A3" w14:textId="23692AD8" w:rsidR="00FC6A63" w:rsidRDefault="00FE0AE2">
            <w:pPr>
              <w:pStyle w:val="NoSpacing"/>
              <w:jc w:val="both"/>
              <w:rPr>
                <w:rStyle w:val="SubtleEmphasis"/>
                <w:rFonts w:eastAsia="Malgun Gothic" w:cstheme="minorBidi"/>
                <w:lang w:val="en-US"/>
              </w:rPr>
            </w:pPr>
            <w:r>
              <w:rPr>
                <w:rStyle w:val="SubtleEmphasis"/>
                <w:rFonts w:eastAsia="Malgun Gothic" w:cstheme="minorBidi"/>
                <w:lang w:val="en-US"/>
              </w:rPr>
              <w:fldChar w:fldCharType="begin">
                <w:ffData>
                  <w:name w:val="POSTNR"/>
                  <w:enabled/>
                  <w:calcOnExit w:val="0"/>
                  <w:textInput/>
                </w:ffData>
              </w:fldChar>
            </w:r>
            <w:bookmarkStart w:id="3" w:name="POSTNR"/>
            <w:r>
              <w:rPr>
                <w:rStyle w:val="SubtleEmphasis"/>
                <w:rFonts w:eastAsia="Malgun Gothic" w:cstheme="minorBidi"/>
                <w:lang w:val="en-US"/>
              </w:rPr>
              <w:instrText xml:space="preserve"> FORMTEXT </w:instrText>
            </w:r>
            <w:r>
              <w:rPr>
                <w:rStyle w:val="SubtleEmphasis"/>
                <w:rFonts w:eastAsia="Malgun Gothic" w:cstheme="minorBidi"/>
                <w:lang w:val="en-US"/>
              </w:rPr>
            </w:r>
            <w:r>
              <w:rPr>
                <w:rStyle w:val="SubtleEmphasis"/>
                <w:rFonts w:eastAsia="Malgun Gothic" w:cstheme="minorBidi"/>
                <w:lang w:val="en-US"/>
              </w:rPr>
              <w:fldChar w:fldCharType="separate"/>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lang w:val="en-US"/>
              </w:rPr>
              <w:fldChar w:fldCharType="end"/>
            </w:r>
            <w:bookmarkEnd w:id="3"/>
            <w:r w:rsidR="00FC6A63">
              <w:rPr>
                <w:rStyle w:val="SubtleEmphasis"/>
                <w:rFonts w:eastAsia="Malgun Gothic" w:cstheme="minorBidi"/>
                <w:lang w:val="en-US"/>
              </w:rPr>
              <w:t xml:space="preserve"> / </w:t>
            </w:r>
            <w:r>
              <w:rPr>
                <w:rStyle w:val="SubtleEmphasis"/>
                <w:rFonts w:eastAsia="Malgun Gothic" w:cstheme="minorBidi"/>
                <w:lang w:val="en-US"/>
              </w:rPr>
              <w:fldChar w:fldCharType="begin">
                <w:ffData>
                  <w:name w:val="STADUR"/>
                  <w:enabled/>
                  <w:calcOnExit w:val="0"/>
                  <w:textInput/>
                </w:ffData>
              </w:fldChar>
            </w:r>
            <w:bookmarkStart w:id="4" w:name="STADUR"/>
            <w:r>
              <w:rPr>
                <w:rStyle w:val="SubtleEmphasis"/>
                <w:rFonts w:eastAsia="Malgun Gothic" w:cstheme="minorBidi"/>
                <w:lang w:val="en-US"/>
              </w:rPr>
              <w:instrText xml:space="preserve"> FORMTEXT </w:instrText>
            </w:r>
            <w:r>
              <w:rPr>
                <w:rStyle w:val="SubtleEmphasis"/>
                <w:rFonts w:eastAsia="Malgun Gothic" w:cstheme="minorBidi"/>
                <w:lang w:val="en-US"/>
              </w:rPr>
            </w:r>
            <w:r>
              <w:rPr>
                <w:rStyle w:val="SubtleEmphasis"/>
                <w:rFonts w:eastAsia="Malgun Gothic" w:cstheme="minorBidi"/>
                <w:lang w:val="en-US"/>
              </w:rPr>
              <w:fldChar w:fldCharType="separate"/>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lang w:val="en-US"/>
              </w:rPr>
              <w:fldChar w:fldCharType="end"/>
            </w:r>
            <w:bookmarkEnd w:id="4"/>
          </w:p>
        </w:tc>
        <w:tc>
          <w:tcPr>
            <w:tcW w:w="119" w:type="pct"/>
          </w:tcPr>
          <w:p w14:paraId="1A361BA7" w14:textId="77777777" w:rsidR="00FC6A63" w:rsidRDefault="00FC6A63">
            <w:pPr>
              <w:pStyle w:val="NoSpacing"/>
              <w:jc w:val="both"/>
              <w:rPr>
                <w:rStyle w:val="SubtleEmphasis"/>
                <w:rFonts w:eastAsia="Malgun Gothic" w:cstheme="minorBidi"/>
                <w:lang w:val="en-US"/>
              </w:rPr>
            </w:pPr>
          </w:p>
        </w:tc>
        <w:tc>
          <w:tcPr>
            <w:tcW w:w="1590" w:type="pct"/>
            <w:gridSpan w:val="3"/>
            <w:tcBorders>
              <w:top w:val="nil"/>
              <w:left w:val="nil"/>
              <w:bottom w:val="single" w:sz="2" w:space="0" w:color="auto"/>
              <w:right w:val="nil"/>
            </w:tcBorders>
            <w:hideMark/>
          </w:tcPr>
          <w:p w14:paraId="28CF9C8D" w14:textId="587CA1B0" w:rsidR="00FC6A63" w:rsidRDefault="00FE0AE2">
            <w:pPr>
              <w:pStyle w:val="NoSpacing"/>
              <w:jc w:val="both"/>
              <w:rPr>
                <w:rStyle w:val="SubtleEmphasis"/>
                <w:rFonts w:eastAsia="Malgun Gothic" w:cstheme="minorBidi"/>
                <w:lang w:val="en-US"/>
              </w:rPr>
            </w:pPr>
            <w:r>
              <w:rPr>
                <w:rStyle w:val="SubtleEmphasis"/>
                <w:rFonts w:eastAsia="Malgun Gothic" w:cstheme="minorBidi"/>
                <w:lang w:val="en-US"/>
              </w:rPr>
              <w:fldChar w:fldCharType="begin">
                <w:ffData>
                  <w:name w:val="LAND"/>
                  <w:enabled/>
                  <w:calcOnExit w:val="0"/>
                  <w:textInput/>
                </w:ffData>
              </w:fldChar>
            </w:r>
            <w:bookmarkStart w:id="5" w:name="LAND"/>
            <w:r>
              <w:rPr>
                <w:rStyle w:val="SubtleEmphasis"/>
                <w:rFonts w:eastAsia="Malgun Gothic" w:cstheme="minorBidi"/>
                <w:lang w:val="en-US"/>
              </w:rPr>
              <w:instrText xml:space="preserve"> FORMTEXT </w:instrText>
            </w:r>
            <w:r>
              <w:rPr>
                <w:rStyle w:val="SubtleEmphasis"/>
                <w:rFonts w:eastAsia="Malgun Gothic" w:cstheme="minorBidi"/>
                <w:lang w:val="en-US"/>
              </w:rPr>
            </w:r>
            <w:r>
              <w:rPr>
                <w:rStyle w:val="SubtleEmphasis"/>
                <w:rFonts w:eastAsia="Malgun Gothic" w:cstheme="minorBidi"/>
                <w:lang w:val="en-US"/>
              </w:rPr>
              <w:fldChar w:fldCharType="separate"/>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lang w:val="en-US"/>
              </w:rPr>
              <w:fldChar w:fldCharType="end"/>
            </w:r>
            <w:bookmarkEnd w:id="5"/>
          </w:p>
        </w:tc>
      </w:tr>
      <w:tr w:rsidR="00FC6A63" w14:paraId="2EA4CB87" w14:textId="77777777" w:rsidTr="00FC6A63">
        <w:trPr>
          <w:jc w:val="center"/>
        </w:trPr>
        <w:tc>
          <w:tcPr>
            <w:tcW w:w="2410" w:type="pct"/>
            <w:tcBorders>
              <w:top w:val="single" w:sz="2" w:space="0" w:color="auto"/>
              <w:left w:val="nil"/>
              <w:bottom w:val="nil"/>
              <w:right w:val="nil"/>
            </w:tcBorders>
            <w:hideMark/>
          </w:tcPr>
          <w:p w14:paraId="35DFAD9B" w14:textId="77777777" w:rsidR="00FC6A63" w:rsidRDefault="00FC6A63">
            <w:pPr>
              <w:pStyle w:val="NoSpacing"/>
              <w:jc w:val="both"/>
              <w:rPr>
                <w:rStyle w:val="Strong"/>
                <w:rFonts w:eastAsia="Malgun Gothic" w:cstheme="minorBidi"/>
              </w:rPr>
            </w:pPr>
            <w:r>
              <w:rPr>
                <w:rStyle w:val="Strong"/>
                <w:rFonts w:eastAsia="Malgun Gothic" w:cstheme="minorBidi"/>
                <w:lang w:val="en-US"/>
              </w:rPr>
              <w:t>Address</w:t>
            </w:r>
          </w:p>
        </w:tc>
        <w:tc>
          <w:tcPr>
            <w:tcW w:w="123" w:type="pct"/>
          </w:tcPr>
          <w:p w14:paraId="6113F5D6" w14:textId="77777777" w:rsidR="00FC6A63" w:rsidRDefault="00FC6A63">
            <w:pPr>
              <w:pStyle w:val="NoSpacing"/>
              <w:jc w:val="both"/>
              <w:rPr>
                <w:rStyle w:val="Strong"/>
                <w:rFonts w:eastAsia="Malgun Gothic" w:cstheme="minorBidi"/>
                <w:lang w:val="en-US"/>
              </w:rPr>
            </w:pPr>
          </w:p>
        </w:tc>
        <w:tc>
          <w:tcPr>
            <w:tcW w:w="758" w:type="pct"/>
            <w:hideMark/>
          </w:tcPr>
          <w:p w14:paraId="55CB0D79" w14:textId="77777777" w:rsidR="00FC6A63" w:rsidRDefault="00FC6A63">
            <w:pPr>
              <w:pStyle w:val="NoSpacing"/>
              <w:jc w:val="both"/>
              <w:rPr>
                <w:rStyle w:val="Strong"/>
                <w:rFonts w:eastAsia="Malgun Gothic" w:cstheme="minorBidi"/>
                <w:lang w:val="en-US"/>
              </w:rPr>
            </w:pPr>
            <w:r>
              <w:rPr>
                <w:rStyle w:val="Strong"/>
                <w:rFonts w:eastAsia="Malgun Gothic" w:cstheme="minorBidi"/>
                <w:lang w:val="en-US"/>
              </w:rPr>
              <w:t>Postcode / City</w:t>
            </w:r>
          </w:p>
        </w:tc>
        <w:tc>
          <w:tcPr>
            <w:tcW w:w="119" w:type="pct"/>
          </w:tcPr>
          <w:p w14:paraId="69D0C906" w14:textId="77777777" w:rsidR="00FC6A63" w:rsidRDefault="00FC6A63">
            <w:pPr>
              <w:pStyle w:val="NoSpacing"/>
              <w:jc w:val="both"/>
              <w:rPr>
                <w:rStyle w:val="Strong"/>
                <w:rFonts w:eastAsia="Malgun Gothic" w:cstheme="minorBidi"/>
                <w:lang w:val="en-US"/>
              </w:rPr>
            </w:pPr>
          </w:p>
        </w:tc>
        <w:tc>
          <w:tcPr>
            <w:tcW w:w="1590" w:type="pct"/>
            <w:gridSpan w:val="3"/>
            <w:hideMark/>
          </w:tcPr>
          <w:p w14:paraId="09BCE4DE" w14:textId="77777777" w:rsidR="00FC6A63" w:rsidRDefault="00FC6A63">
            <w:pPr>
              <w:pStyle w:val="NoSpacing"/>
              <w:jc w:val="both"/>
              <w:rPr>
                <w:rStyle w:val="Strong"/>
                <w:rFonts w:eastAsia="Malgun Gothic" w:cstheme="minorBidi"/>
                <w:lang w:val="en-US"/>
              </w:rPr>
            </w:pPr>
            <w:r>
              <w:rPr>
                <w:rStyle w:val="Strong"/>
                <w:rFonts w:eastAsia="Malgun Gothic" w:cstheme="minorBidi"/>
                <w:lang w:val="en-US"/>
              </w:rPr>
              <w:t>Country</w:t>
            </w:r>
          </w:p>
        </w:tc>
      </w:tr>
      <w:tr w:rsidR="00FC6A63" w14:paraId="61F930DF" w14:textId="77777777" w:rsidTr="00FC6A63">
        <w:trPr>
          <w:jc w:val="center"/>
        </w:trPr>
        <w:tc>
          <w:tcPr>
            <w:tcW w:w="2410" w:type="pct"/>
            <w:tcBorders>
              <w:top w:val="nil"/>
              <w:left w:val="nil"/>
              <w:bottom w:val="single" w:sz="2" w:space="0" w:color="auto"/>
              <w:right w:val="nil"/>
            </w:tcBorders>
            <w:hideMark/>
          </w:tcPr>
          <w:p w14:paraId="0320BA56" w14:textId="584D24BB" w:rsidR="00FC6A63" w:rsidRDefault="00FE0AE2">
            <w:pPr>
              <w:pStyle w:val="NoSpacing"/>
              <w:jc w:val="both"/>
              <w:rPr>
                <w:rStyle w:val="SubtleEmphasis"/>
                <w:rFonts w:eastAsia="Malgun Gothic" w:cstheme="minorBidi"/>
              </w:rPr>
            </w:pPr>
            <w:r>
              <w:rPr>
                <w:rStyle w:val="SubtleEmphasis"/>
                <w:rFonts w:eastAsia="Malgun Gothic" w:cstheme="minorBidi"/>
                <w:lang w:val="en-US"/>
              </w:rPr>
              <w:fldChar w:fldCharType="begin">
                <w:ffData>
                  <w:name w:val="NETFANG"/>
                  <w:enabled/>
                  <w:calcOnExit w:val="0"/>
                  <w:textInput/>
                </w:ffData>
              </w:fldChar>
            </w:r>
            <w:bookmarkStart w:id="6" w:name="NETFANG"/>
            <w:r>
              <w:rPr>
                <w:rStyle w:val="SubtleEmphasis"/>
                <w:rFonts w:eastAsia="Malgun Gothic" w:cstheme="minorBidi"/>
                <w:lang w:val="en-US"/>
              </w:rPr>
              <w:instrText xml:space="preserve"> FORMTEXT </w:instrText>
            </w:r>
            <w:r>
              <w:rPr>
                <w:rStyle w:val="SubtleEmphasis"/>
                <w:rFonts w:eastAsia="Malgun Gothic" w:cstheme="minorBidi"/>
                <w:lang w:val="en-US"/>
              </w:rPr>
            </w:r>
            <w:r>
              <w:rPr>
                <w:rStyle w:val="SubtleEmphasis"/>
                <w:rFonts w:eastAsia="Malgun Gothic" w:cstheme="minorBidi"/>
                <w:lang w:val="en-US"/>
              </w:rPr>
              <w:fldChar w:fldCharType="separate"/>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lang w:val="en-US"/>
              </w:rPr>
              <w:fldChar w:fldCharType="end"/>
            </w:r>
            <w:bookmarkEnd w:id="6"/>
          </w:p>
        </w:tc>
        <w:tc>
          <w:tcPr>
            <w:tcW w:w="123" w:type="pct"/>
          </w:tcPr>
          <w:p w14:paraId="199922E0" w14:textId="77777777" w:rsidR="00FC6A63" w:rsidRDefault="00FC6A63">
            <w:pPr>
              <w:pStyle w:val="NoSpacing"/>
              <w:jc w:val="both"/>
              <w:rPr>
                <w:rStyle w:val="SubtleEmphasis"/>
                <w:rFonts w:eastAsia="Malgun Gothic" w:cstheme="minorBidi"/>
                <w:lang w:val="en-US"/>
              </w:rPr>
            </w:pPr>
          </w:p>
        </w:tc>
        <w:tc>
          <w:tcPr>
            <w:tcW w:w="2467" w:type="pct"/>
            <w:gridSpan w:val="5"/>
            <w:tcBorders>
              <w:top w:val="nil"/>
              <w:left w:val="nil"/>
              <w:bottom w:val="single" w:sz="2" w:space="0" w:color="auto"/>
              <w:right w:val="nil"/>
            </w:tcBorders>
            <w:hideMark/>
          </w:tcPr>
          <w:p w14:paraId="22DBB69C" w14:textId="255F28A2" w:rsidR="00FC6A63" w:rsidRDefault="00FE0AE2">
            <w:pPr>
              <w:pStyle w:val="NoSpacing"/>
              <w:jc w:val="both"/>
              <w:rPr>
                <w:rStyle w:val="SubtleEmphasis"/>
                <w:rFonts w:eastAsia="Malgun Gothic" w:cstheme="minorBidi"/>
                <w:lang w:val="en-US"/>
              </w:rPr>
            </w:pPr>
            <w:r>
              <w:rPr>
                <w:rStyle w:val="SubtleEmphasis"/>
                <w:rFonts w:eastAsia="Malgun Gothic" w:cstheme="minorBidi"/>
                <w:lang w:val="en-US"/>
              </w:rPr>
              <w:fldChar w:fldCharType="begin">
                <w:ffData>
                  <w:name w:val="SIMI"/>
                  <w:enabled/>
                  <w:calcOnExit w:val="0"/>
                  <w:textInput/>
                </w:ffData>
              </w:fldChar>
            </w:r>
            <w:bookmarkStart w:id="7" w:name="SIMI"/>
            <w:r>
              <w:rPr>
                <w:rStyle w:val="SubtleEmphasis"/>
                <w:rFonts w:eastAsia="Malgun Gothic" w:cstheme="minorBidi"/>
                <w:lang w:val="en-US"/>
              </w:rPr>
              <w:instrText xml:space="preserve"> FORMTEXT </w:instrText>
            </w:r>
            <w:r>
              <w:rPr>
                <w:rStyle w:val="SubtleEmphasis"/>
                <w:rFonts w:eastAsia="Malgun Gothic" w:cstheme="minorBidi"/>
                <w:lang w:val="en-US"/>
              </w:rPr>
            </w:r>
            <w:r>
              <w:rPr>
                <w:rStyle w:val="SubtleEmphasis"/>
                <w:rFonts w:eastAsia="Malgun Gothic" w:cstheme="minorBidi"/>
                <w:lang w:val="en-US"/>
              </w:rPr>
              <w:fldChar w:fldCharType="separate"/>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lang w:val="en-US"/>
              </w:rPr>
              <w:fldChar w:fldCharType="end"/>
            </w:r>
            <w:bookmarkEnd w:id="7"/>
            <w:r w:rsidR="00FC6A63">
              <w:rPr>
                <w:rStyle w:val="SubtleEmphasis"/>
                <w:rFonts w:eastAsia="Malgun Gothic" w:cstheme="minorBidi"/>
                <w:lang w:val="en-US"/>
              </w:rPr>
              <w:t xml:space="preserve"> / </w:t>
            </w:r>
            <w:r>
              <w:rPr>
                <w:rStyle w:val="SubtleEmphasis"/>
                <w:rFonts w:eastAsia="Malgun Gothic" w:cstheme="minorBidi"/>
                <w:lang w:val="en-US"/>
              </w:rPr>
              <w:fldChar w:fldCharType="begin">
                <w:ffData>
                  <w:name w:val="GSM"/>
                  <w:enabled/>
                  <w:calcOnExit w:val="0"/>
                  <w:textInput/>
                </w:ffData>
              </w:fldChar>
            </w:r>
            <w:bookmarkStart w:id="8" w:name="GSM"/>
            <w:r>
              <w:rPr>
                <w:rStyle w:val="SubtleEmphasis"/>
                <w:rFonts w:eastAsia="Malgun Gothic" w:cstheme="minorBidi"/>
                <w:lang w:val="en-US"/>
              </w:rPr>
              <w:instrText xml:space="preserve"> FORMTEXT </w:instrText>
            </w:r>
            <w:r>
              <w:rPr>
                <w:rStyle w:val="SubtleEmphasis"/>
                <w:rFonts w:eastAsia="Malgun Gothic" w:cstheme="minorBidi"/>
                <w:lang w:val="en-US"/>
              </w:rPr>
            </w:r>
            <w:r>
              <w:rPr>
                <w:rStyle w:val="SubtleEmphasis"/>
                <w:rFonts w:eastAsia="Malgun Gothic" w:cstheme="minorBidi"/>
                <w:lang w:val="en-US"/>
              </w:rPr>
              <w:fldChar w:fldCharType="separate"/>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lang w:val="en-US"/>
              </w:rPr>
              <w:fldChar w:fldCharType="end"/>
            </w:r>
            <w:bookmarkEnd w:id="8"/>
          </w:p>
        </w:tc>
      </w:tr>
      <w:tr w:rsidR="00FC6A63" w14:paraId="57053C72" w14:textId="77777777" w:rsidTr="00FC6A63">
        <w:trPr>
          <w:jc w:val="center"/>
        </w:trPr>
        <w:tc>
          <w:tcPr>
            <w:tcW w:w="2410" w:type="pct"/>
            <w:tcBorders>
              <w:top w:val="single" w:sz="2" w:space="0" w:color="auto"/>
              <w:left w:val="nil"/>
              <w:bottom w:val="nil"/>
              <w:right w:val="nil"/>
            </w:tcBorders>
            <w:hideMark/>
          </w:tcPr>
          <w:p w14:paraId="2FD4CFAD" w14:textId="77777777" w:rsidR="00FC6A63" w:rsidRDefault="00FC6A63">
            <w:pPr>
              <w:pStyle w:val="NoSpacing"/>
              <w:jc w:val="both"/>
              <w:rPr>
                <w:rStyle w:val="Strong"/>
                <w:rFonts w:eastAsia="Malgun Gothic" w:cstheme="minorBidi"/>
              </w:rPr>
            </w:pPr>
            <w:r>
              <w:rPr>
                <w:rStyle w:val="Strong"/>
                <w:rFonts w:eastAsia="Malgun Gothic" w:cstheme="minorBidi"/>
                <w:lang w:val="en-US"/>
              </w:rPr>
              <w:t>E-mail address</w:t>
            </w:r>
          </w:p>
        </w:tc>
        <w:tc>
          <w:tcPr>
            <w:tcW w:w="123" w:type="pct"/>
          </w:tcPr>
          <w:p w14:paraId="122FF292" w14:textId="77777777" w:rsidR="00FC6A63" w:rsidRDefault="00FC6A63">
            <w:pPr>
              <w:pStyle w:val="NoSpacing"/>
              <w:jc w:val="both"/>
              <w:rPr>
                <w:rStyle w:val="Strong"/>
                <w:rFonts w:eastAsia="Malgun Gothic" w:cstheme="minorBidi"/>
                <w:lang w:val="en-US"/>
              </w:rPr>
            </w:pPr>
          </w:p>
        </w:tc>
        <w:tc>
          <w:tcPr>
            <w:tcW w:w="2467" w:type="pct"/>
            <w:gridSpan w:val="5"/>
            <w:hideMark/>
          </w:tcPr>
          <w:p w14:paraId="547992E5" w14:textId="77777777" w:rsidR="00FC6A63" w:rsidRDefault="00FC6A63">
            <w:pPr>
              <w:pStyle w:val="NoSpacing"/>
              <w:jc w:val="both"/>
              <w:rPr>
                <w:rStyle w:val="Strong"/>
                <w:rFonts w:eastAsia="Malgun Gothic" w:cstheme="minorBidi"/>
                <w:lang w:val="en-US"/>
              </w:rPr>
            </w:pPr>
            <w:r>
              <w:rPr>
                <w:rStyle w:val="Strong"/>
                <w:rFonts w:eastAsia="Malgun Gothic" w:cstheme="minorBidi"/>
                <w:lang w:val="en-US"/>
              </w:rPr>
              <w:t>Telephone / Mobile</w:t>
            </w:r>
          </w:p>
        </w:tc>
      </w:tr>
      <w:tr w:rsidR="00FC6A63" w14:paraId="391E1BC3" w14:textId="77777777" w:rsidTr="00FC6A63">
        <w:trPr>
          <w:jc w:val="center"/>
        </w:trPr>
        <w:tc>
          <w:tcPr>
            <w:tcW w:w="2410" w:type="pct"/>
            <w:tcBorders>
              <w:top w:val="nil"/>
              <w:left w:val="nil"/>
              <w:bottom w:val="single" w:sz="2" w:space="0" w:color="auto"/>
              <w:right w:val="nil"/>
            </w:tcBorders>
            <w:hideMark/>
          </w:tcPr>
          <w:p w14:paraId="7EECD8C5" w14:textId="2F23693C" w:rsidR="00FC6A63" w:rsidRDefault="00FE0AE2">
            <w:pPr>
              <w:pStyle w:val="NoSpacing"/>
              <w:jc w:val="both"/>
              <w:rPr>
                <w:rStyle w:val="SubtleEmphasis"/>
                <w:rFonts w:eastAsia="Malgun Gothic" w:cstheme="minorBidi"/>
              </w:rPr>
            </w:pPr>
            <w:r>
              <w:rPr>
                <w:rStyle w:val="SubtleEmphasis"/>
                <w:rFonts w:eastAsia="Malgun Gothic" w:cstheme="minorBidi"/>
                <w:lang w:val="en-US"/>
              </w:rPr>
              <w:fldChar w:fldCharType="begin">
                <w:ffData>
                  <w:name w:val=""/>
                  <w:enabled/>
                  <w:calcOnExit w:val="0"/>
                  <w:textInput/>
                </w:ffData>
              </w:fldChar>
            </w:r>
            <w:r>
              <w:rPr>
                <w:rStyle w:val="SubtleEmphasis"/>
                <w:rFonts w:eastAsia="Malgun Gothic" w:cstheme="minorBidi"/>
                <w:lang w:val="en-US"/>
              </w:rPr>
              <w:instrText xml:space="preserve"> FORMTEXT </w:instrText>
            </w:r>
            <w:r>
              <w:rPr>
                <w:rStyle w:val="SubtleEmphasis"/>
                <w:rFonts w:eastAsia="Malgun Gothic" w:cstheme="minorBidi"/>
                <w:lang w:val="en-US"/>
              </w:rPr>
            </w:r>
            <w:r>
              <w:rPr>
                <w:rStyle w:val="SubtleEmphasis"/>
                <w:rFonts w:eastAsia="Malgun Gothic" w:cstheme="minorBidi"/>
                <w:lang w:val="en-US"/>
              </w:rPr>
              <w:fldChar w:fldCharType="separate"/>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lang w:val="en-US"/>
              </w:rPr>
              <w:fldChar w:fldCharType="end"/>
            </w:r>
          </w:p>
        </w:tc>
        <w:tc>
          <w:tcPr>
            <w:tcW w:w="123" w:type="pct"/>
          </w:tcPr>
          <w:p w14:paraId="5F450B54" w14:textId="77777777" w:rsidR="00FC6A63" w:rsidRDefault="00FC6A63">
            <w:pPr>
              <w:pStyle w:val="NoSpacing"/>
              <w:jc w:val="both"/>
              <w:rPr>
                <w:rStyle w:val="SubtleEmphasis"/>
                <w:rFonts w:eastAsia="Malgun Gothic" w:cstheme="minorBidi"/>
                <w:lang w:val="en-US"/>
              </w:rPr>
            </w:pPr>
          </w:p>
        </w:tc>
        <w:tc>
          <w:tcPr>
            <w:tcW w:w="2467" w:type="pct"/>
            <w:gridSpan w:val="5"/>
            <w:tcBorders>
              <w:top w:val="nil"/>
              <w:left w:val="nil"/>
              <w:bottom w:val="single" w:sz="2" w:space="0" w:color="auto"/>
              <w:right w:val="nil"/>
            </w:tcBorders>
            <w:hideMark/>
          </w:tcPr>
          <w:p w14:paraId="76D088D4" w14:textId="028AF29D" w:rsidR="00FC6A63" w:rsidRDefault="00FE0AE2">
            <w:pPr>
              <w:pStyle w:val="NoSpacing"/>
              <w:jc w:val="both"/>
              <w:rPr>
                <w:rStyle w:val="SubtleEmphasis"/>
                <w:rFonts w:eastAsia="Malgun Gothic" w:cstheme="minorBidi"/>
                <w:lang w:val="en-US"/>
              </w:rPr>
            </w:pPr>
            <w:r>
              <w:rPr>
                <w:rStyle w:val="SubtleEmphasis"/>
                <w:rFonts w:eastAsia="Malgun Gothic" w:cstheme="minorBidi"/>
                <w:lang w:val="en-US"/>
              </w:rPr>
              <w:fldChar w:fldCharType="begin">
                <w:ffData>
                  <w:name w:val="Text18"/>
                  <w:enabled/>
                  <w:calcOnExit w:val="0"/>
                  <w:textInput>
                    <w:maxLength w:val="20"/>
                  </w:textInput>
                </w:ffData>
              </w:fldChar>
            </w:r>
            <w:bookmarkStart w:id="9" w:name="Text18"/>
            <w:r>
              <w:rPr>
                <w:rStyle w:val="SubtleEmphasis"/>
                <w:rFonts w:eastAsia="Malgun Gothic" w:cstheme="minorBidi"/>
                <w:lang w:val="en-US"/>
              </w:rPr>
              <w:instrText xml:space="preserve"> FORMTEXT </w:instrText>
            </w:r>
            <w:r>
              <w:rPr>
                <w:rStyle w:val="SubtleEmphasis"/>
                <w:rFonts w:eastAsia="Malgun Gothic" w:cstheme="minorBidi"/>
                <w:lang w:val="en-US"/>
              </w:rPr>
            </w:r>
            <w:r>
              <w:rPr>
                <w:rStyle w:val="SubtleEmphasis"/>
                <w:rFonts w:eastAsia="Malgun Gothic" w:cstheme="minorBidi"/>
                <w:lang w:val="en-US"/>
              </w:rPr>
              <w:fldChar w:fldCharType="separate"/>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noProof/>
                <w:lang w:val="en-US"/>
              </w:rPr>
              <w:t> </w:t>
            </w:r>
            <w:r>
              <w:rPr>
                <w:rStyle w:val="SubtleEmphasis"/>
                <w:rFonts w:eastAsia="Malgun Gothic" w:cstheme="minorBidi"/>
                <w:lang w:val="en-US"/>
              </w:rPr>
              <w:fldChar w:fldCharType="end"/>
            </w:r>
            <w:bookmarkEnd w:id="9"/>
          </w:p>
        </w:tc>
      </w:tr>
      <w:tr w:rsidR="00FC6A63" w14:paraId="675D5CEB" w14:textId="77777777" w:rsidTr="00FC6A63">
        <w:trPr>
          <w:jc w:val="center"/>
        </w:trPr>
        <w:tc>
          <w:tcPr>
            <w:tcW w:w="2410" w:type="pct"/>
            <w:tcBorders>
              <w:top w:val="single" w:sz="2" w:space="0" w:color="auto"/>
              <w:left w:val="nil"/>
              <w:bottom w:val="nil"/>
              <w:right w:val="nil"/>
            </w:tcBorders>
            <w:hideMark/>
          </w:tcPr>
          <w:p w14:paraId="531BCD4C" w14:textId="77777777" w:rsidR="00FC6A63" w:rsidRDefault="00FC6A63">
            <w:pPr>
              <w:pStyle w:val="NoSpacing"/>
              <w:jc w:val="both"/>
              <w:rPr>
                <w:rStyle w:val="Strong"/>
                <w:rFonts w:eastAsia="Malgun Gothic" w:cstheme="minorBidi"/>
              </w:rPr>
            </w:pPr>
            <w:r>
              <w:rPr>
                <w:rStyle w:val="Strong"/>
                <w:rFonts w:eastAsia="Malgun Gothic" w:cstheme="minorBidi"/>
                <w:lang w:val="en-US"/>
              </w:rPr>
              <w:t>Tax residence (Country)</w:t>
            </w:r>
          </w:p>
        </w:tc>
        <w:tc>
          <w:tcPr>
            <w:tcW w:w="123" w:type="pct"/>
          </w:tcPr>
          <w:p w14:paraId="6C9FC50F" w14:textId="77777777" w:rsidR="00FC6A63" w:rsidRDefault="00FC6A63">
            <w:pPr>
              <w:pStyle w:val="NoSpacing"/>
              <w:jc w:val="both"/>
              <w:rPr>
                <w:rStyle w:val="Strong"/>
                <w:rFonts w:eastAsia="Malgun Gothic" w:cstheme="minorBidi"/>
                <w:lang w:val="en-US"/>
              </w:rPr>
            </w:pPr>
          </w:p>
        </w:tc>
        <w:tc>
          <w:tcPr>
            <w:tcW w:w="2467" w:type="pct"/>
            <w:gridSpan w:val="5"/>
            <w:tcBorders>
              <w:top w:val="single" w:sz="2" w:space="0" w:color="auto"/>
              <w:left w:val="nil"/>
              <w:bottom w:val="nil"/>
              <w:right w:val="nil"/>
            </w:tcBorders>
            <w:hideMark/>
          </w:tcPr>
          <w:p w14:paraId="4857B23B" w14:textId="77777777" w:rsidR="00FC6A63" w:rsidRDefault="00FC6A63">
            <w:pPr>
              <w:pStyle w:val="NoSpacing"/>
              <w:jc w:val="both"/>
              <w:rPr>
                <w:rStyle w:val="Strong"/>
                <w:rFonts w:eastAsia="Malgun Gothic" w:cstheme="minorBidi"/>
                <w:lang w:val="en-US"/>
              </w:rPr>
            </w:pPr>
            <w:r>
              <w:rPr>
                <w:rStyle w:val="Strong"/>
                <w:rFonts w:eastAsia="Malgun Gothic" w:cstheme="minorBidi"/>
              </w:rPr>
              <w:t>NCI (National Client Identifier)</w:t>
            </w:r>
          </w:p>
        </w:tc>
      </w:tr>
    </w:tbl>
    <w:p w14:paraId="344B2863" w14:textId="77777777" w:rsidR="005C3F5F" w:rsidRPr="00355137" w:rsidRDefault="005C3F5F">
      <w:pPr>
        <w:pStyle w:val="NoSpacing"/>
        <w:rPr>
          <w:rStyle w:val="SubtleEmphasis"/>
          <w:rFonts w:cs="Calibri"/>
          <w:sz w:val="12"/>
          <w:szCs w:val="20"/>
          <w:lang w:val="en-US"/>
        </w:rPr>
      </w:pPr>
    </w:p>
    <w:p w14:paraId="42591EA1" w14:textId="77777777" w:rsidR="005C3F5F" w:rsidRPr="00CD3F3B" w:rsidRDefault="005C3F5F">
      <w:pPr>
        <w:pStyle w:val="BodyText"/>
        <w:spacing w:after="60"/>
        <w:rPr>
          <w:rFonts w:ascii="Calibri" w:hAnsi="Calibri" w:cs="Calibri"/>
          <w:szCs w:val="24"/>
          <w:lang w:val="en-US"/>
        </w:rPr>
      </w:pPr>
      <w:r w:rsidRPr="00CD3F3B">
        <w:rPr>
          <w:rFonts w:ascii="Calibri" w:hAnsi="Calibri" w:cs="Calibri"/>
          <w:sz w:val="18"/>
          <w:szCs w:val="24"/>
          <w:lang w:val="en-US"/>
        </w:rPr>
        <w:t xml:space="preserve">This agreement is between Arion Bank hf., ID-No. 581008-0150, Borgartún 19, 105 Reykjavík (“Arion Bank”) and the </w:t>
      </w:r>
      <w:proofErr w:type="gramStart"/>
      <w:r w:rsidRPr="00CD3F3B">
        <w:rPr>
          <w:rFonts w:ascii="Calibri" w:hAnsi="Calibri" w:cs="Calibri"/>
          <w:sz w:val="18"/>
          <w:szCs w:val="24"/>
          <w:lang w:val="en-US"/>
        </w:rPr>
        <w:t>client, and</w:t>
      </w:r>
      <w:proofErr w:type="gramEnd"/>
      <w:r w:rsidRPr="00CD3F3B">
        <w:rPr>
          <w:rFonts w:ascii="Calibri" w:hAnsi="Calibri" w:cs="Calibri"/>
          <w:sz w:val="18"/>
          <w:szCs w:val="24"/>
          <w:lang w:val="en-US"/>
        </w:rPr>
        <w:t xml:space="preserve"> concerns the legal relationship between the parties in respect of Arion Bank’s custody of financial instruments and other financial assets owned by the client, and transactions between Arion Bank and the client with financial instruments and other financial assets.</w:t>
      </w:r>
    </w:p>
    <w:p w14:paraId="6FF8D6F5" w14:textId="77777777" w:rsidR="005C3F5F" w:rsidRPr="00CD3F3B" w:rsidRDefault="005C3F5F">
      <w:pPr>
        <w:pStyle w:val="BodyText"/>
        <w:spacing w:after="60"/>
        <w:rPr>
          <w:rStyle w:val="SubtleEmphasis"/>
          <w:rFonts w:eastAsia="Malgun Gothic" w:cs="Calibri"/>
          <w:caps/>
          <w:szCs w:val="24"/>
          <w:lang w:val="en-US"/>
        </w:rPr>
      </w:pPr>
      <w:r w:rsidRPr="00CD3F3B">
        <w:rPr>
          <w:rStyle w:val="SubtleEmphasis"/>
          <w:rFonts w:cs="Calibri"/>
          <w:szCs w:val="24"/>
          <w:lang w:val="en-US"/>
        </w:rPr>
        <w:t>1</w:t>
      </w:r>
      <w:r w:rsidRPr="00CD3F3B">
        <w:rPr>
          <w:rStyle w:val="SubtleEmphasis"/>
          <w:rFonts w:cs="Calibri"/>
          <w:spacing w:val="20"/>
          <w:szCs w:val="24"/>
          <w:lang w:val="en-US"/>
        </w:rPr>
        <w:t>. INVESTMENT SERVICES AND CUSTODY OF FINANCIAL INSTRUMENTS AND OTHER FINANCIAL ASSETS</w:t>
      </w:r>
    </w:p>
    <w:p w14:paraId="385B785B" w14:textId="77777777" w:rsidR="005C3F5F" w:rsidRPr="00CD3F3B" w:rsidRDefault="005C3F5F">
      <w:pPr>
        <w:pStyle w:val="BodyText"/>
        <w:rPr>
          <w:rFonts w:ascii="Calibri" w:hAnsi="Calibri" w:cs="Calibri"/>
          <w:szCs w:val="24"/>
          <w:lang w:val="en-US"/>
        </w:rPr>
      </w:pPr>
      <w:r w:rsidRPr="00CD3F3B">
        <w:rPr>
          <w:rFonts w:ascii="Calibri" w:hAnsi="Calibri" w:cs="Calibri"/>
          <w:sz w:val="18"/>
          <w:szCs w:val="24"/>
          <w:lang w:val="en-US"/>
        </w:rPr>
        <w:t xml:space="preserve">Under this agreement and </w:t>
      </w:r>
      <w:proofErr w:type="gramStart"/>
      <w:r w:rsidRPr="00CD3F3B">
        <w:rPr>
          <w:rFonts w:ascii="Calibri" w:hAnsi="Calibri" w:cs="Calibri"/>
          <w:sz w:val="18"/>
          <w:szCs w:val="24"/>
          <w:lang w:val="en-US"/>
        </w:rPr>
        <w:t>on the basis of</w:t>
      </w:r>
      <w:proofErr w:type="gramEnd"/>
      <w:r w:rsidRPr="00CD3F3B">
        <w:rPr>
          <w:rFonts w:ascii="Calibri" w:hAnsi="Calibri" w:cs="Calibri"/>
          <w:sz w:val="18"/>
          <w:szCs w:val="24"/>
          <w:lang w:val="en-US"/>
        </w:rPr>
        <w:t xml:space="preserve"> Arion Bank’s general terms of business for investment services between Arion Bank hf. and its clients, Arion Bank agrees to open a special custody account in the client’s name and to undertake the custody and administration of financial instruments for the client’s account as defined in Article 4 (66) of the Market for Financial Instruments Act.  </w:t>
      </w:r>
    </w:p>
    <w:p w14:paraId="2824FE92" w14:textId="77777777" w:rsidR="005C3F5F" w:rsidRPr="00CD3F3B" w:rsidRDefault="005C3F5F">
      <w:pPr>
        <w:autoSpaceDE w:val="0"/>
        <w:autoSpaceDN w:val="0"/>
        <w:adjustRightInd w:val="0"/>
        <w:spacing w:after="80"/>
        <w:jc w:val="both"/>
        <w:rPr>
          <w:rFonts w:cs="Calibri"/>
          <w:lang w:val="en-US"/>
        </w:rPr>
      </w:pPr>
      <w:r w:rsidRPr="00CD3F3B">
        <w:rPr>
          <w:rFonts w:cs="Calibri"/>
          <w:sz w:val="18"/>
          <w:lang w:val="en-US"/>
        </w:rPr>
        <w:t xml:space="preserve">The term financial instruments </w:t>
      </w:r>
      <w:proofErr w:type="gramStart"/>
      <w:r w:rsidRPr="00CD3F3B">
        <w:rPr>
          <w:rFonts w:cs="Calibri"/>
          <w:sz w:val="18"/>
          <w:lang w:val="en-US"/>
        </w:rPr>
        <w:t>is</w:t>
      </w:r>
      <w:proofErr w:type="gramEnd"/>
      <w:r w:rsidRPr="00CD3F3B">
        <w:rPr>
          <w:rFonts w:cs="Calibri"/>
          <w:sz w:val="18"/>
          <w:lang w:val="en-US"/>
        </w:rPr>
        <w:t xml:space="preserve"> defined in Article 4 (16) of the Market for Financial Instruments Act and the term includes securities (e.g. shares and bonds), money market instruments (e.g. treasury bills), certificates and derivatives.</w:t>
      </w:r>
      <w:r w:rsidRPr="00CD3F3B">
        <w:rPr>
          <w:rStyle w:val="SubtleEmphasis"/>
          <w:rFonts w:cs="Calibri"/>
          <w:sz w:val="18"/>
          <w:lang w:val="en-US"/>
        </w:rPr>
        <w:t xml:space="preserve"> This agreement and other terms and rules to which it refers govern such transactions by the client. </w:t>
      </w:r>
    </w:p>
    <w:p w14:paraId="2E46F3C4" w14:textId="77777777" w:rsidR="005C3F5F" w:rsidRPr="00CD3F3B" w:rsidRDefault="005C3F5F">
      <w:pPr>
        <w:pStyle w:val="BodyText"/>
        <w:spacing w:after="60"/>
        <w:rPr>
          <w:rFonts w:ascii="Calibri" w:hAnsi="Calibri" w:cs="Calibri"/>
          <w:szCs w:val="24"/>
          <w:lang w:val="en-US"/>
        </w:rPr>
      </w:pPr>
      <w:r w:rsidRPr="00CD3F3B">
        <w:rPr>
          <w:rStyle w:val="SubtleEmphasis"/>
          <w:rFonts w:cs="Calibri"/>
          <w:sz w:val="18"/>
          <w:szCs w:val="24"/>
          <w:lang w:val="en-US"/>
        </w:rPr>
        <w:t xml:space="preserve">The client understands and accepts that all actions connected to the assets in the custody account in their name will be settled in the currency of each financial instrument in the account at the interbank rate on the Icelandic foreign exchange market at the close of markets on the last trading day.  The client can request that the settlement be made in the base currency of the custody account, </w:t>
      </w:r>
      <w:proofErr w:type="gramStart"/>
      <w:r w:rsidRPr="00CD3F3B">
        <w:rPr>
          <w:rStyle w:val="SubtleEmphasis"/>
          <w:rFonts w:cs="Calibri"/>
          <w:sz w:val="18"/>
          <w:szCs w:val="24"/>
          <w:lang w:val="en-US"/>
        </w:rPr>
        <w:t>i.e.</w:t>
      </w:r>
      <w:proofErr w:type="gramEnd"/>
      <w:r w:rsidRPr="00CD3F3B">
        <w:rPr>
          <w:rStyle w:val="SubtleEmphasis"/>
          <w:rFonts w:cs="Calibri"/>
          <w:sz w:val="18"/>
          <w:szCs w:val="24"/>
          <w:lang w:val="en-US"/>
        </w:rPr>
        <w:t xml:space="preserve"> the Icelandic króna (ISK). If the client requests settlement in ISK, they must give instructions to Arion Bank to this effect by verifiable means.  The client also understands and accepts that the balance on the custody account may become negative in which case the client will pay overdraft interest in accordance with the Arion Bank's current interest rate table. The applicable interest rate depends on the terms of the individual’s overdraft loan. </w:t>
      </w:r>
    </w:p>
    <w:p w14:paraId="7302800A" w14:textId="77777777" w:rsidR="005C3F5F" w:rsidRPr="00CD3F3B" w:rsidRDefault="005C3F5F">
      <w:pPr>
        <w:pStyle w:val="BodyText"/>
        <w:spacing w:after="60"/>
        <w:rPr>
          <w:rStyle w:val="SubtleEmphasis"/>
          <w:rFonts w:eastAsia="Malgun Gothic" w:cs="Calibri"/>
          <w:sz w:val="18"/>
          <w:szCs w:val="24"/>
          <w:lang w:val="en-US"/>
        </w:rPr>
      </w:pPr>
      <w:r w:rsidRPr="00CD3F3B">
        <w:rPr>
          <w:rStyle w:val="SubtleEmphasis"/>
          <w:rFonts w:cs="Calibri"/>
          <w:sz w:val="18"/>
          <w:szCs w:val="24"/>
          <w:lang w:val="en-US"/>
        </w:rPr>
        <w:t>The Bank is authorized to refuse the client’s request to execute payments from the custody account in accordance with the general terms of business for investment services between Arion Bank and its clients.</w:t>
      </w:r>
    </w:p>
    <w:p w14:paraId="41F6F7AB" w14:textId="77777777" w:rsidR="005C3F5F" w:rsidRPr="00CD3F3B" w:rsidRDefault="005C3F5F">
      <w:pPr>
        <w:pStyle w:val="Title"/>
        <w:rPr>
          <w:rStyle w:val="SubtleEmphasis"/>
          <w:rFonts w:cs="Calibri"/>
          <w:szCs w:val="24"/>
          <w:lang w:val="en-US"/>
        </w:rPr>
      </w:pPr>
      <w:r w:rsidRPr="00CD3F3B">
        <w:rPr>
          <w:rStyle w:val="SubtleEmphasis"/>
          <w:rFonts w:cs="Calibri"/>
          <w:caps w:val="0"/>
          <w:szCs w:val="24"/>
          <w:lang w:val="en-US"/>
        </w:rPr>
        <w:t>2. AUTHORITY GRANTED TO ARION BANK</w:t>
      </w:r>
    </w:p>
    <w:p w14:paraId="3A8834A9" w14:textId="77777777" w:rsidR="005C3F5F" w:rsidRPr="00CD3F3B" w:rsidRDefault="005C3F5F">
      <w:pPr>
        <w:autoSpaceDE w:val="0"/>
        <w:autoSpaceDN w:val="0"/>
        <w:adjustRightInd w:val="0"/>
        <w:spacing w:after="80"/>
        <w:jc w:val="both"/>
        <w:rPr>
          <w:rStyle w:val="SubtleEmphasis"/>
          <w:rFonts w:cs="Calibri"/>
          <w:spacing w:val="20"/>
          <w:kern w:val="28"/>
          <w:sz w:val="18"/>
          <w:lang w:val="en-US"/>
        </w:rPr>
      </w:pPr>
      <w:r w:rsidRPr="00CD3F3B">
        <w:rPr>
          <w:rStyle w:val="SubtleEmphasis"/>
          <w:rFonts w:cs="Calibri"/>
          <w:sz w:val="18"/>
          <w:lang w:val="en-US"/>
        </w:rPr>
        <w:t xml:space="preserve">Under this agreement the client grants Arion Bank the full and unlimited authority to: </w:t>
      </w:r>
    </w:p>
    <w:p w14:paraId="1659138F" w14:textId="77777777" w:rsidR="005C3F5F" w:rsidRPr="00CD3F3B" w:rsidRDefault="005C3F5F">
      <w:pPr>
        <w:pStyle w:val="ListParagraph"/>
        <w:numPr>
          <w:ilvl w:val="0"/>
          <w:numId w:val="2"/>
        </w:numPr>
        <w:autoSpaceDE w:val="0"/>
        <w:autoSpaceDN w:val="0"/>
        <w:adjustRightInd w:val="0"/>
        <w:spacing w:line="280" w:lineRule="auto"/>
        <w:jc w:val="both"/>
        <w:rPr>
          <w:rStyle w:val="SubtleEmphasis"/>
          <w:rFonts w:eastAsia="Malgun Gothic" w:cs="Calibri"/>
          <w:sz w:val="18"/>
          <w:szCs w:val="24"/>
          <w:lang w:val="en-US"/>
        </w:rPr>
      </w:pPr>
      <w:r w:rsidRPr="00CD3F3B">
        <w:rPr>
          <w:rStyle w:val="SubtleEmphasis"/>
          <w:rFonts w:cs="Calibri"/>
          <w:sz w:val="18"/>
          <w:szCs w:val="24"/>
          <w:lang w:val="en-US"/>
        </w:rPr>
        <w:t xml:space="preserve">Open an account in the name of the client for depositing and withdrawal of financial assets from the account, including with respect to transactions with financial instruments by the </w:t>
      </w:r>
      <w:proofErr w:type="gramStart"/>
      <w:r w:rsidRPr="00CD3F3B">
        <w:rPr>
          <w:rStyle w:val="SubtleEmphasis"/>
          <w:rFonts w:cs="Calibri"/>
          <w:sz w:val="18"/>
          <w:szCs w:val="24"/>
          <w:lang w:val="en-US"/>
        </w:rPr>
        <w:t>client;</w:t>
      </w:r>
      <w:proofErr w:type="gramEnd"/>
    </w:p>
    <w:p w14:paraId="72501875" w14:textId="77777777" w:rsidR="005C3F5F" w:rsidRPr="00CD3F3B" w:rsidRDefault="005C3F5F">
      <w:pPr>
        <w:pStyle w:val="ListParagraph"/>
        <w:numPr>
          <w:ilvl w:val="0"/>
          <w:numId w:val="2"/>
        </w:numPr>
        <w:autoSpaceDE w:val="0"/>
        <w:autoSpaceDN w:val="0"/>
        <w:adjustRightInd w:val="0"/>
        <w:spacing w:line="280" w:lineRule="auto"/>
        <w:jc w:val="both"/>
        <w:rPr>
          <w:rStyle w:val="SubtleEmphasis"/>
          <w:rFonts w:eastAsia="Malgun Gothic" w:cs="Calibri"/>
          <w:sz w:val="18"/>
          <w:szCs w:val="24"/>
          <w:lang w:val="en-US"/>
        </w:rPr>
      </w:pPr>
      <w:r w:rsidRPr="00CD3F3B">
        <w:rPr>
          <w:rStyle w:val="SubtleEmphasis"/>
          <w:rFonts w:cs="Calibri"/>
          <w:sz w:val="18"/>
          <w:szCs w:val="24"/>
          <w:lang w:val="en-US"/>
        </w:rPr>
        <w:t xml:space="preserve">Open a custody account in the name of the client and keep safe the client’s financial instruments in the </w:t>
      </w:r>
      <w:proofErr w:type="gramStart"/>
      <w:r w:rsidRPr="00CD3F3B">
        <w:rPr>
          <w:rStyle w:val="SubtleEmphasis"/>
          <w:rFonts w:cs="Calibri"/>
          <w:sz w:val="18"/>
          <w:szCs w:val="24"/>
          <w:lang w:val="en-US"/>
        </w:rPr>
        <w:t>account;</w:t>
      </w:r>
      <w:proofErr w:type="gramEnd"/>
    </w:p>
    <w:p w14:paraId="05C73399" w14:textId="77777777" w:rsidR="005C3F5F" w:rsidRPr="00CD3F3B" w:rsidRDefault="005C3F5F">
      <w:pPr>
        <w:pStyle w:val="ListParagraph"/>
        <w:numPr>
          <w:ilvl w:val="0"/>
          <w:numId w:val="2"/>
        </w:numPr>
        <w:autoSpaceDE w:val="0"/>
        <w:autoSpaceDN w:val="0"/>
        <w:adjustRightInd w:val="0"/>
        <w:spacing w:line="280" w:lineRule="auto"/>
        <w:jc w:val="both"/>
        <w:rPr>
          <w:rFonts w:ascii="Calibri" w:hAnsi="Calibri" w:cs="Calibri"/>
          <w:szCs w:val="24"/>
          <w:lang w:val="en-US"/>
        </w:rPr>
      </w:pPr>
      <w:r w:rsidRPr="00CD3F3B">
        <w:rPr>
          <w:rStyle w:val="SubtleEmphasis"/>
          <w:rFonts w:cs="Calibri"/>
          <w:sz w:val="18"/>
          <w:szCs w:val="24"/>
          <w:lang w:val="en-US"/>
        </w:rPr>
        <w:t xml:space="preserve">Open a securities account (ISD account) in the name of the client for the purpose of electronic registration of </w:t>
      </w:r>
      <w:proofErr w:type="gramStart"/>
      <w:r w:rsidRPr="00CD3F3B">
        <w:rPr>
          <w:rStyle w:val="SubtleEmphasis"/>
          <w:rFonts w:cs="Calibri"/>
          <w:sz w:val="18"/>
          <w:szCs w:val="24"/>
          <w:lang w:val="en-US"/>
        </w:rPr>
        <w:t>title;</w:t>
      </w:r>
      <w:proofErr w:type="gramEnd"/>
      <w:r w:rsidRPr="00CD3F3B">
        <w:rPr>
          <w:rStyle w:val="SubtleEmphasis"/>
          <w:rFonts w:cs="Calibri"/>
          <w:sz w:val="18"/>
          <w:szCs w:val="24"/>
          <w:lang w:val="en-US"/>
        </w:rPr>
        <w:t xml:space="preserve">  </w:t>
      </w:r>
    </w:p>
    <w:p w14:paraId="4613280F" w14:textId="77777777" w:rsidR="005C3F5F" w:rsidRPr="00CD3F3B" w:rsidRDefault="005C3F5F">
      <w:pPr>
        <w:pStyle w:val="ListParagraph"/>
        <w:numPr>
          <w:ilvl w:val="0"/>
          <w:numId w:val="2"/>
        </w:numPr>
        <w:autoSpaceDE w:val="0"/>
        <w:autoSpaceDN w:val="0"/>
        <w:adjustRightInd w:val="0"/>
        <w:spacing w:line="280" w:lineRule="auto"/>
        <w:jc w:val="both"/>
        <w:rPr>
          <w:rStyle w:val="SubtleEmphasis"/>
          <w:rFonts w:eastAsia="Malgun Gothic" w:cs="Calibri"/>
          <w:sz w:val="24"/>
          <w:szCs w:val="24"/>
          <w:lang w:val="en-US"/>
        </w:rPr>
      </w:pPr>
      <w:r w:rsidRPr="00CD3F3B">
        <w:rPr>
          <w:rStyle w:val="SubtleEmphasis"/>
          <w:rFonts w:cs="Calibri"/>
          <w:sz w:val="18"/>
          <w:szCs w:val="24"/>
          <w:lang w:val="en-US"/>
        </w:rPr>
        <w:t xml:space="preserve">Keep financial instruments in a nominee account (nominee registration) in accordance with the </w:t>
      </w:r>
      <w:proofErr w:type="gramStart"/>
      <w:r w:rsidRPr="00CD3F3B">
        <w:rPr>
          <w:rStyle w:val="SubtleEmphasis"/>
          <w:rFonts w:cs="Calibri"/>
          <w:sz w:val="18"/>
          <w:szCs w:val="24"/>
          <w:lang w:val="en-US"/>
        </w:rPr>
        <w:t>law;</w:t>
      </w:r>
      <w:proofErr w:type="gramEnd"/>
      <w:r w:rsidRPr="00CD3F3B">
        <w:rPr>
          <w:rFonts w:ascii="Calibri" w:hAnsi="Calibri" w:cs="Calibri"/>
          <w:sz w:val="18"/>
          <w:szCs w:val="24"/>
          <w:lang w:val="en-US"/>
        </w:rPr>
        <w:t xml:space="preserve"> </w:t>
      </w:r>
    </w:p>
    <w:p w14:paraId="67F4991E" w14:textId="77777777" w:rsidR="005C3F5F" w:rsidRPr="00CD3F3B" w:rsidRDefault="005C3F5F">
      <w:pPr>
        <w:pStyle w:val="ListParagraph"/>
        <w:numPr>
          <w:ilvl w:val="0"/>
          <w:numId w:val="2"/>
        </w:numPr>
        <w:autoSpaceDE w:val="0"/>
        <w:autoSpaceDN w:val="0"/>
        <w:adjustRightInd w:val="0"/>
        <w:spacing w:line="280" w:lineRule="auto"/>
        <w:jc w:val="both"/>
        <w:rPr>
          <w:rStyle w:val="SubtleEmphasis"/>
          <w:rFonts w:eastAsia="Malgun Gothic" w:cs="Calibri"/>
          <w:sz w:val="18"/>
          <w:szCs w:val="24"/>
          <w:lang w:val="en-US"/>
        </w:rPr>
      </w:pPr>
      <w:r w:rsidRPr="00CD3F3B">
        <w:rPr>
          <w:rStyle w:val="SubtleEmphasis"/>
          <w:rFonts w:cs="Calibri"/>
          <w:sz w:val="18"/>
          <w:szCs w:val="24"/>
          <w:lang w:val="en-US"/>
        </w:rPr>
        <w:t xml:space="preserve">Buy and sell financial instruments for the client in accordance with instructions from the client and take such measures as are necessary to conclude such transactions, including transferring financial instruments in the client’s </w:t>
      </w:r>
      <w:proofErr w:type="gramStart"/>
      <w:r w:rsidRPr="00CD3F3B">
        <w:rPr>
          <w:rStyle w:val="SubtleEmphasis"/>
          <w:rFonts w:cs="Calibri"/>
          <w:sz w:val="18"/>
          <w:szCs w:val="24"/>
          <w:lang w:val="en-US"/>
        </w:rPr>
        <w:t>name;</w:t>
      </w:r>
      <w:proofErr w:type="gramEnd"/>
      <w:r w:rsidRPr="00CD3F3B">
        <w:rPr>
          <w:rStyle w:val="SubtleEmphasis"/>
          <w:rFonts w:cs="Calibri"/>
          <w:sz w:val="18"/>
          <w:szCs w:val="24"/>
          <w:lang w:val="en-US"/>
        </w:rPr>
        <w:t xml:space="preserve"> </w:t>
      </w:r>
    </w:p>
    <w:p w14:paraId="2DA313A7" w14:textId="77777777" w:rsidR="005C3F5F" w:rsidRPr="00CD3F3B" w:rsidRDefault="005C3F5F">
      <w:pPr>
        <w:pStyle w:val="ListParagraph"/>
        <w:numPr>
          <w:ilvl w:val="0"/>
          <w:numId w:val="2"/>
        </w:numPr>
        <w:autoSpaceDE w:val="0"/>
        <w:autoSpaceDN w:val="0"/>
        <w:adjustRightInd w:val="0"/>
        <w:spacing w:line="280" w:lineRule="auto"/>
        <w:jc w:val="both"/>
        <w:rPr>
          <w:rStyle w:val="SubtleEmphasis"/>
          <w:rFonts w:eastAsia="Malgun Gothic" w:cs="Calibri"/>
          <w:sz w:val="18"/>
          <w:szCs w:val="24"/>
          <w:lang w:val="en-US"/>
        </w:rPr>
      </w:pPr>
      <w:r w:rsidRPr="00CD3F3B">
        <w:rPr>
          <w:rStyle w:val="SubtleEmphasis"/>
          <w:rFonts w:cs="Calibri"/>
          <w:sz w:val="18"/>
          <w:szCs w:val="24"/>
          <w:lang w:val="en-US"/>
        </w:rPr>
        <w:t xml:space="preserve">Exercise a right or obtain an asset deriving from financial instruments and other financial assets in the custody account, such as collect payments, dividends, inflation indexation, </w:t>
      </w:r>
      <w:proofErr w:type="gramStart"/>
      <w:r w:rsidRPr="00CD3F3B">
        <w:rPr>
          <w:rStyle w:val="SubtleEmphasis"/>
          <w:rFonts w:cs="Calibri"/>
          <w:sz w:val="18"/>
          <w:szCs w:val="24"/>
          <w:lang w:val="en-US"/>
        </w:rPr>
        <w:t>interest</w:t>
      </w:r>
      <w:proofErr w:type="gramEnd"/>
      <w:r w:rsidRPr="00CD3F3B">
        <w:rPr>
          <w:rStyle w:val="SubtleEmphasis"/>
          <w:rFonts w:cs="Calibri"/>
          <w:sz w:val="18"/>
          <w:szCs w:val="24"/>
          <w:lang w:val="en-US"/>
        </w:rPr>
        <w:t xml:space="preserve"> and bonus shares; and</w:t>
      </w:r>
    </w:p>
    <w:p w14:paraId="6435BBE4" w14:textId="77777777" w:rsidR="005C3F5F" w:rsidRPr="00CD3F3B" w:rsidRDefault="005C3F5F">
      <w:pPr>
        <w:pStyle w:val="ListParagraph"/>
        <w:numPr>
          <w:ilvl w:val="0"/>
          <w:numId w:val="2"/>
        </w:numPr>
        <w:spacing w:after="60"/>
        <w:ind w:left="714" w:hanging="357"/>
        <w:jc w:val="both"/>
        <w:rPr>
          <w:rFonts w:ascii="Calibri" w:hAnsi="Calibri" w:cs="Calibri"/>
          <w:sz w:val="22"/>
          <w:szCs w:val="24"/>
          <w:lang w:val="en-US"/>
        </w:rPr>
      </w:pPr>
      <w:r w:rsidRPr="00CD3F3B">
        <w:rPr>
          <w:rStyle w:val="SubtleEmphasis"/>
          <w:rFonts w:cs="Calibri"/>
          <w:sz w:val="18"/>
          <w:szCs w:val="24"/>
          <w:lang w:val="en-US"/>
        </w:rPr>
        <w:t xml:space="preserve">Debit from the account of the client at Arion Bank (irrespective of whether this refers to accounts opened in respect of securities transactions or other accounts) any fees or other expenses relating to the financial instruments of the </w:t>
      </w:r>
      <w:proofErr w:type="gramStart"/>
      <w:r w:rsidRPr="00CD3F3B">
        <w:rPr>
          <w:rStyle w:val="SubtleEmphasis"/>
          <w:rFonts w:cs="Calibri"/>
          <w:sz w:val="18"/>
          <w:szCs w:val="24"/>
          <w:lang w:val="en-US"/>
        </w:rPr>
        <w:t>client</w:t>
      </w:r>
      <w:proofErr w:type="gramEnd"/>
      <w:r w:rsidRPr="00CD3F3B">
        <w:rPr>
          <w:rStyle w:val="SubtleEmphasis"/>
          <w:rFonts w:cs="Calibri"/>
          <w:sz w:val="18"/>
          <w:szCs w:val="24"/>
          <w:lang w:val="en-US"/>
        </w:rPr>
        <w:t xml:space="preserve"> or the services provided under this agreement.   </w:t>
      </w:r>
      <w:r w:rsidRPr="00CD3F3B">
        <w:rPr>
          <w:rFonts w:ascii="Calibri" w:hAnsi="Calibri" w:cs="Calibri"/>
          <w:sz w:val="18"/>
          <w:szCs w:val="24"/>
          <w:lang w:val="en-US"/>
        </w:rPr>
        <w:t>The client shall ensure that there are always sufficient funds in the account so that the Bank is able to debit fees and other expenses.</w:t>
      </w:r>
      <w:r w:rsidRPr="00CD3F3B">
        <w:rPr>
          <w:rStyle w:val="SubtleEmphasis"/>
          <w:rFonts w:cs="Calibri"/>
          <w:sz w:val="18"/>
          <w:szCs w:val="24"/>
          <w:lang w:val="en-US"/>
        </w:rPr>
        <w:t xml:space="preserve"> All actions performed and signatures made by the Bank in the name of the client in accordance with the above shall have the same validity as if made by the client.</w:t>
      </w:r>
    </w:p>
    <w:p w14:paraId="7C760BF1" w14:textId="77777777" w:rsidR="005C3F5F" w:rsidRPr="00CD3F3B" w:rsidRDefault="005C3F5F">
      <w:pPr>
        <w:pStyle w:val="Title"/>
        <w:rPr>
          <w:rStyle w:val="SubtleEmphasis"/>
          <w:rFonts w:cs="Calibri"/>
          <w:caps w:val="0"/>
          <w:szCs w:val="24"/>
          <w:lang w:val="en-US"/>
        </w:rPr>
      </w:pPr>
      <w:bookmarkStart w:id="10" w:name="_Hlk38015349"/>
      <w:r w:rsidRPr="00CD3F3B">
        <w:rPr>
          <w:rStyle w:val="SubtleEmphasis"/>
          <w:rFonts w:cs="Calibri"/>
          <w:caps w:val="0"/>
          <w:szCs w:val="24"/>
          <w:lang w:val="en-US"/>
        </w:rPr>
        <w:t>3. DISCLOSURE OF INFORMATION</w:t>
      </w:r>
    </w:p>
    <w:bookmarkEnd w:id="10"/>
    <w:p w14:paraId="57B50EE4" w14:textId="77777777" w:rsidR="005C3F5F" w:rsidRPr="00CD3F3B" w:rsidRDefault="005C3F5F">
      <w:pPr>
        <w:pStyle w:val="BodyText"/>
        <w:spacing w:after="60"/>
        <w:rPr>
          <w:rFonts w:ascii="Calibri" w:hAnsi="Calibri" w:cs="Calibri"/>
          <w:szCs w:val="24"/>
          <w:lang w:val="en-US"/>
        </w:rPr>
      </w:pPr>
      <w:r w:rsidRPr="00CD3F3B">
        <w:rPr>
          <w:rFonts w:ascii="Calibri" w:hAnsi="Calibri" w:cs="Calibri"/>
          <w:sz w:val="18"/>
          <w:szCs w:val="24"/>
          <w:lang w:val="en-US"/>
        </w:rPr>
        <w:t xml:space="preserve">The client receives a quarterly statement detailing the financial instruments or financial assets which the Bank is keeping for the client, unless the law requires that such statements be provided more often.   The client shall make any objections to the statement immediately if deemed necessary. The Bank reserves the right to correct the statements to reflect the real position of the custody account.  If the client requests such statements more often, Arion Bank will provide them for the fee set out in the Bank’s list of fee and charges. </w:t>
      </w:r>
    </w:p>
    <w:p w14:paraId="653F8EB8" w14:textId="77777777" w:rsidR="009070A7" w:rsidRDefault="005C3F5F">
      <w:pPr>
        <w:autoSpaceDE w:val="0"/>
        <w:autoSpaceDN w:val="0"/>
        <w:adjustRightInd w:val="0"/>
        <w:spacing w:after="60"/>
        <w:jc w:val="both"/>
        <w:rPr>
          <w:rStyle w:val="SubtleEmphasis"/>
          <w:rFonts w:cs="Calibri"/>
          <w:sz w:val="18"/>
          <w:lang w:val="en-US"/>
        </w:rPr>
      </w:pPr>
      <w:r w:rsidRPr="00CD3F3B">
        <w:rPr>
          <w:rStyle w:val="SubtleEmphasis"/>
          <w:rFonts w:cs="Calibri"/>
          <w:sz w:val="18"/>
          <w:lang w:val="en-US"/>
        </w:rPr>
        <w:t xml:space="preserve">Information and notices, which the Bank is obliged by law to provide the client with on a durable medium in connection with the services provided under this agreement, are provided in digital format or other durable medium, e.g. via online banking, the Bank’s app, to the client’s e-mail address or other means so that the client can keep this information unmodified, copy it and look it up easily.  If the client wishes to receive a transaction statement or other information by regular mail, </w:t>
      </w:r>
      <w:r w:rsidR="006A0E18" w:rsidRPr="006A0E18">
        <w:rPr>
          <w:rStyle w:val="SubtleEmphasis"/>
          <w:rFonts w:cs="Calibri"/>
          <w:sz w:val="18"/>
          <w:lang w:val="en-US"/>
        </w:rPr>
        <w:t>they should contact Investment Services at Arion Bank</w:t>
      </w:r>
      <w:r w:rsidRPr="00CD3F3B">
        <w:rPr>
          <w:rStyle w:val="SubtleEmphasis"/>
          <w:rFonts w:cs="Calibri"/>
          <w:sz w:val="18"/>
          <w:lang w:val="en-US"/>
        </w:rPr>
        <w:t xml:space="preserve">.  </w:t>
      </w:r>
    </w:p>
    <w:p w14:paraId="56753B6B" w14:textId="6A754AF7" w:rsidR="009070A7" w:rsidRDefault="009070A7">
      <w:pPr>
        <w:rPr>
          <w:rStyle w:val="SubtleEmphasis"/>
          <w:rFonts w:cs="Calibri"/>
          <w:sz w:val="18"/>
          <w:lang w:val="en-US"/>
        </w:rPr>
      </w:pPr>
      <w:r>
        <w:rPr>
          <w:rStyle w:val="SubtleEmphasis"/>
          <w:rFonts w:cs="Calibri"/>
          <w:sz w:val="18"/>
          <w:lang w:val="en-US"/>
        </w:rPr>
        <w:br w:type="page"/>
      </w:r>
    </w:p>
    <w:tbl>
      <w:tblPr>
        <w:tblW w:w="5000" w:type="pct"/>
        <w:tblLayout w:type="fixed"/>
        <w:tblLook w:val="04A0" w:firstRow="1" w:lastRow="0" w:firstColumn="1" w:lastColumn="0" w:noHBand="0" w:noVBand="1"/>
      </w:tblPr>
      <w:tblGrid>
        <w:gridCol w:w="7566"/>
        <w:gridCol w:w="2298"/>
      </w:tblGrid>
      <w:tr w:rsidR="009070A7" w:rsidRPr="00CD3F3B" w14:paraId="36B97743" w14:textId="77777777" w:rsidTr="006F160D">
        <w:tc>
          <w:tcPr>
            <w:tcW w:w="3835" w:type="pct"/>
          </w:tcPr>
          <w:p w14:paraId="1C380E98" w14:textId="77777777" w:rsidR="009070A7" w:rsidRPr="00355137" w:rsidRDefault="009070A7" w:rsidP="006F160D">
            <w:pPr>
              <w:rPr>
                <w:rFonts w:ascii="Arial" w:eastAsia="Malgun Gothic" w:hAnsi="Arial" w:cs="Arial"/>
                <w:b/>
                <w:color w:val="19488C"/>
                <w:spacing w:val="20"/>
                <w:kern w:val="28"/>
                <w:lang w:val="en-US"/>
              </w:rPr>
            </w:pPr>
            <w:r w:rsidRPr="00355137">
              <w:rPr>
                <w:rFonts w:ascii="Arial" w:hAnsi="Arial" w:cs="Arial"/>
                <w:b/>
                <w:color w:val="19488C"/>
                <w:spacing w:val="20"/>
                <w:kern w:val="28"/>
                <w:lang w:val="en-US"/>
              </w:rPr>
              <w:lastRenderedPageBreak/>
              <w:t>Agreement</w:t>
            </w:r>
          </w:p>
        </w:tc>
        <w:tc>
          <w:tcPr>
            <w:tcW w:w="1165" w:type="pct"/>
          </w:tcPr>
          <w:p w14:paraId="2D948B87" w14:textId="77777777" w:rsidR="009070A7" w:rsidRPr="00CD3F3B" w:rsidRDefault="009070A7" w:rsidP="006F160D">
            <w:pPr>
              <w:tabs>
                <w:tab w:val="left" w:pos="646"/>
              </w:tabs>
              <w:jc w:val="right"/>
              <w:rPr>
                <w:rFonts w:cs="Calibri"/>
                <w:sz w:val="20"/>
                <w:lang w:val="en-US"/>
              </w:rPr>
            </w:pPr>
            <w:r w:rsidRPr="00CD3F3B">
              <w:rPr>
                <w:rFonts w:cs="Calibri"/>
                <w:noProof/>
                <w:snapToGrid/>
                <w:lang w:val="en-US"/>
              </w:rPr>
              <w:drawing>
                <wp:anchor distT="0" distB="0" distL="114300" distR="114300" simplePos="0" relativeHeight="251664896" behindDoc="1" locked="0" layoutInCell="1" allowOverlap="1" wp14:anchorId="31949941" wp14:editId="2CC815FA">
                  <wp:simplePos x="0" y="0"/>
                  <wp:positionH relativeFrom="column">
                    <wp:posOffset>247650</wp:posOffset>
                  </wp:positionH>
                  <wp:positionV relativeFrom="page">
                    <wp:posOffset>-2540</wp:posOffset>
                  </wp:positionV>
                  <wp:extent cx="1144905" cy="2482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11794" t="30518" r="12254" b="33659"/>
                          <a:stretch>
                            <a:fillRect/>
                          </a:stretch>
                        </pic:blipFill>
                        <pic:spPr bwMode="auto">
                          <a:xfrm>
                            <a:off x="0" y="0"/>
                            <a:ext cx="1144905" cy="248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070A7" w:rsidRPr="00CD3F3B" w14:paraId="72BC018E" w14:textId="77777777" w:rsidTr="006F160D">
        <w:trPr>
          <w:trHeight w:val="397"/>
        </w:trPr>
        <w:tc>
          <w:tcPr>
            <w:tcW w:w="3835" w:type="pct"/>
            <w:vAlign w:val="center"/>
          </w:tcPr>
          <w:p w14:paraId="0421082E" w14:textId="77777777" w:rsidR="009070A7" w:rsidRPr="00355137" w:rsidRDefault="009070A7" w:rsidP="006F160D">
            <w:pPr>
              <w:rPr>
                <w:rFonts w:ascii="Arial" w:hAnsi="Arial" w:cs="Arial"/>
                <w:color w:val="19488C"/>
                <w:spacing w:val="15"/>
                <w:sz w:val="22"/>
                <w:lang w:val="en-US"/>
              </w:rPr>
            </w:pPr>
            <w:r w:rsidRPr="00355137">
              <w:rPr>
                <w:rFonts w:ascii="Arial" w:hAnsi="Arial" w:cs="Arial"/>
                <w:color w:val="19488C"/>
                <w:spacing w:val="15"/>
                <w:sz w:val="22"/>
                <w:lang w:val="en-US"/>
              </w:rPr>
              <w:t>on investment services - individual</w:t>
            </w:r>
          </w:p>
        </w:tc>
        <w:tc>
          <w:tcPr>
            <w:tcW w:w="1165" w:type="pct"/>
            <w:vAlign w:val="bottom"/>
          </w:tcPr>
          <w:p w14:paraId="02438117" w14:textId="77777777" w:rsidR="009070A7" w:rsidRPr="00CD3F3B" w:rsidRDefault="009070A7" w:rsidP="006F160D">
            <w:pPr>
              <w:jc w:val="right"/>
              <w:rPr>
                <w:rFonts w:cs="Calibri"/>
                <w:sz w:val="18"/>
                <w:lang w:val="en-US"/>
              </w:rPr>
            </w:pPr>
          </w:p>
        </w:tc>
      </w:tr>
    </w:tbl>
    <w:p w14:paraId="4A7BD1E8" w14:textId="77777777" w:rsidR="009070A7" w:rsidRPr="003B7BD1" w:rsidRDefault="009070A7">
      <w:pPr>
        <w:autoSpaceDE w:val="0"/>
        <w:autoSpaceDN w:val="0"/>
        <w:adjustRightInd w:val="0"/>
        <w:spacing w:after="60"/>
        <w:jc w:val="both"/>
        <w:rPr>
          <w:rStyle w:val="SubtleEmphasis"/>
          <w:rFonts w:cs="Calibri"/>
          <w:sz w:val="14"/>
          <w:szCs w:val="20"/>
          <w:lang w:val="en-US"/>
        </w:rPr>
      </w:pPr>
    </w:p>
    <w:p w14:paraId="580921DC" w14:textId="2D7C4F99" w:rsidR="005C3F5F" w:rsidRPr="00CD3F3B" w:rsidRDefault="005C3F5F">
      <w:pPr>
        <w:autoSpaceDE w:val="0"/>
        <w:autoSpaceDN w:val="0"/>
        <w:adjustRightInd w:val="0"/>
        <w:spacing w:after="60"/>
        <w:jc w:val="both"/>
        <w:rPr>
          <w:rStyle w:val="SubtleEmphasis"/>
          <w:rFonts w:cs="Calibri"/>
          <w:sz w:val="24"/>
          <w:lang w:val="en-US"/>
        </w:rPr>
      </w:pPr>
      <w:r w:rsidRPr="00CD3F3B">
        <w:rPr>
          <w:rStyle w:val="SubtleEmphasis"/>
          <w:rFonts w:cs="Calibri"/>
          <w:sz w:val="18"/>
          <w:lang w:val="en-US"/>
        </w:rPr>
        <w:t xml:space="preserve">Please note that the client is required to pay separately for such services, including postage, in accordance with the Bank’s current list of rates and charges. </w:t>
      </w:r>
      <w:r w:rsidR="003B7BD1" w:rsidRPr="003B7BD1">
        <w:rPr>
          <w:rStyle w:val="SubtleEmphasis"/>
          <w:rFonts w:cs="Calibri"/>
          <w:sz w:val="18"/>
          <w:lang w:val="en-US"/>
        </w:rPr>
        <w:t>However, retail clients can ask to get the information which they are entitled to receive by law in paper format free of charge.</w:t>
      </w:r>
      <w:r w:rsidRPr="00CD3F3B">
        <w:rPr>
          <w:rStyle w:val="SubtleEmphasis"/>
          <w:rFonts w:cs="Calibri"/>
          <w:sz w:val="18"/>
          <w:lang w:val="en-US"/>
        </w:rPr>
        <w:t xml:space="preserve"> The e-mail address, phone number and address of the client and other information on the client specified in this agreement are deemed to be correct until the client formally states otherwise. However, the Bank is permitted to consider the entry in the National Registry as the correct address of the client.</w:t>
      </w:r>
    </w:p>
    <w:p w14:paraId="5FF4418A" w14:textId="77777777" w:rsidR="005C3F5F" w:rsidRPr="00CD3F3B" w:rsidRDefault="005C3F5F">
      <w:pPr>
        <w:autoSpaceDE w:val="0"/>
        <w:autoSpaceDN w:val="0"/>
        <w:adjustRightInd w:val="0"/>
        <w:spacing w:after="60"/>
        <w:jc w:val="both"/>
        <w:rPr>
          <w:rFonts w:cs="Calibri"/>
          <w:lang w:val="en-US"/>
        </w:rPr>
      </w:pPr>
      <w:r w:rsidRPr="00CD3F3B">
        <w:rPr>
          <w:rStyle w:val="SubtleEmphasis"/>
          <w:rFonts w:cs="Calibri"/>
          <w:sz w:val="18"/>
          <w:lang w:val="en-US"/>
        </w:rPr>
        <w:t xml:space="preserve">If the client suffers damage on account of notices between the parties to this agreement being miscarried, for example if the Bank does not receive e-mail for some reason, letters are not delivered, technical problems occur, or a misunderstanding is caused because of unclear instructions given by telephone, the Bank shall not be liable for such damage. </w:t>
      </w:r>
    </w:p>
    <w:p w14:paraId="38832FD6" w14:textId="77777777" w:rsidR="005C3F5F" w:rsidRPr="00CD3F3B" w:rsidRDefault="005C3F5F">
      <w:pPr>
        <w:pStyle w:val="Title"/>
        <w:rPr>
          <w:rStyle w:val="SubtleEmphasis"/>
          <w:rFonts w:cs="Calibri"/>
          <w:caps w:val="0"/>
          <w:szCs w:val="24"/>
          <w:lang w:val="en-US"/>
        </w:rPr>
      </w:pPr>
      <w:r w:rsidRPr="00CD3F3B">
        <w:rPr>
          <w:rStyle w:val="SubtleEmphasis"/>
          <w:rFonts w:cs="Calibri"/>
          <w:caps w:val="0"/>
          <w:szCs w:val="24"/>
          <w:lang w:val="en-US"/>
        </w:rPr>
        <w:t>4. FEES AND COSTS</w:t>
      </w:r>
    </w:p>
    <w:p w14:paraId="1BCF0361" w14:textId="58CB8D4C" w:rsidR="005C3F5F" w:rsidRPr="00CD3F3B" w:rsidRDefault="005C3F5F">
      <w:pPr>
        <w:pStyle w:val="BodyText"/>
        <w:spacing w:after="60"/>
        <w:rPr>
          <w:rFonts w:ascii="Calibri" w:hAnsi="Calibri" w:cs="Calibri"/>
          <w:szCs w:val="24"/>
          <w:lang w:val="en-US"/>
        </w:rPr>
      </w:pPr>
      <w:r w:rsidRPr="00CD3F3B">
        <w:rPr>
          <w:rFonts w:ascii="Calibri" w:hAnsi="Calibri" w:cs="Calibri"/>
          <w:sz w:val="18"/>
          <w:szCs w:val="24"/>
          <w:lang w:val="en-US"/>
        </w:rPr>
        <w:t xml:space="preserve">The client pays fees and costs in accordance with Arion Bank’s list of fees and charges as current at any given time and/or as agreed by the parties specifically. The list of fees and charges can be seen on the Bank’s website </w:t>
      </w:r>
      <w:hyperlink r:id="rId14" w:history="1">
        <w:r w:rsidRPr="00355137">
          <w:rPr>
            <w:rStyle w:val="Hyperlink"/>
            <w:rFonts w:ascii="Calibri" w:hAnsi="Calibri" w:cs="Calibri"/>
            <w:sz w:val="18"/>
            <w:szCs w:val="24"/>
            <w:lang w:val="en-US"/>
          </w:rPr>
          <w:t>https://www.arionbanki.is/english/about-us/more/rates/</w:t>
        </w:r>
      </w:hyperlink>
      <w:r w:rsidRPr="00CD3F3B">
        <w:rPr>
          <w:rFonts w:ascii="Calibri" w:hAnsi="Calibri" w:cs="Calibri"/>
          <w:sz w:val="18"/>
          <w:szCs w:val="24"/>
          <w:lang w:val="en-US"/>
        </w:rPr>
        <w:t xml:space="preserve">. </w:t>
      </w:r>
      <w:r w:rsidR="001F09BF" w:rsidRPr="001F09BF">
        <w:rPr>
          <w:rFonts w:ascii="Calibri" w:hAnsi="Calibri" w:cs="Calibri"/>
          <w:sz w:val="18"/>
          <w:szCs w:val="24"/>
          <w:lang w:val="en-US"/>
        </w:rPr>
        <w:t xml:space="preserve">The client confirms that they have read Arion Bank’s Overview of Costs &amp; Charges, which contains detailed information on costs and charges in respect of the services provided under this agreement and can be found here: </w:t>
      </w:r>
      <w:hyperlink r:id="rId15" w:history="1">
        <w:r w:rsidR="001F09BF" w:rsidRPr="001F09BF">
          <w:rPr>
            <w:rStyle w:val="Hyperlink"/>
            <w:rFonts w:ascii="Calibri" w:hAnsi="Calibri" w:cs="Calibri"/>
            <w:sz w:val="18"/>
            <w:szCs w:val="24"/>
            <w:lang w:val="en-US"/>
          </w:rPr>
          <w:t>www.arionbanki.is/fjarfestavernd</w:t>
        </w:r>
      </w:hyperlink>
      <w:r w:rsidRPr="00CD3F3B">
        <w:rPr>
          <w:rFonts w:ascii="Calibri" w:hAnsi="Calibri" w:cs="Calibri"/>
          <w:sz w:val="18"/>
          <w:szCs w:val="24"/>
          <w:lang w:val="en-US"/>
        </w:rPr>
        <w:t xml:space="preserve">. The provisions of the Bank’s general terms of business for investment services between Arion Bank hf. and its clients apply in other respects to fees and costs pursuant to this agreement. </w:t>
      </w:r>
    </w:p>
    <w:p w14:paraId="6FC16385" w14:textId="77777777" w:rsidR="005C3F5F" w:rsidRPr="00CD3F3B" w:rsidRDefault="005C3F5F">
      <w:pPr>
        <w:pStyle w:val="Title"/>
        <w:rPr>
          <w:rStyle w:val="SubtleEmphasis"/>
          <w:rFonts w:cs="Calibri"/>
          <w:szCs w:val="24"/>
          <w:lang w:val="en-US"/>
        </w:rPr>
      </w:pPr>
      <w:r w:rsidRPr="00CD3F3B">
        <w:rPr>
          <w:rStyle w:val="SubtleEmphasis"/>
          <w:rFonts w:cs="Calibri"/>
          <w:szCs w:val="24"/>
          <w:lang w:val="en-US"/>
        </w:rPr>
        <w:t>5</w:t>
      </w:r>
      <w:r w:rsidRPr="00CD3F3B">
        <w:rPr>
          <w:rStyle w:val="SubtleEmphasis"/>
          <w:rFonts w:cs="Calibri"/>
          <w:caps w:val="0"/>
          <w:szCs w:val="24"/>
          <w:lang w:val="en-US"/>
        </w:rPr>
        <w:t>. TERMINATION OF THE AGREEMENT</w:t>
      </w:r>
    </w:p>
    <w:p w14:paraId="6913E9DD" w14:textId="497C0241" w:rsidR="005C3F5F" w:rsidRPr="00CD3F3B" w:rsidRDefault="005C3F5F">
      <w:pPr>
        <w:pStyle w:val="BodyText"/>
        <w:spacing w:after="60"/>
        <w:rPr>
          <w:rFonts w:ascii="Calibri" w:hAnsi="Calibri" w:cs="Calibri"/>
          <w:szCs w:val="24"/>
          <w:lang w:val="en-US"/>
        </w:rPr>
      </w:pPr>
      <w:bookmarkStart w:id="11" w:name="_Hlk121835897"/>
      <w:r w:rsidRPr="00CD3F3B">
        <w:rPr>
          <w:rFonts w:ascii="Calibri" w:hAnsi="Calibri" w:cs="Calibri"/>
          <w:sz w:val="18"/>
          <w:szCs w:val="24"/>
          <w:lang w:val="en-US"/>
        </w:rPr>
        <w:t xml:space="preserve">The parties to this agreement can terminate it without notice. The agreement shall be terminated in writing or in another verifiable manner, </w:t>
      </w:r>
      <w:proofErr w:type="gramStart"/>
      <w:r w:rsidRPr="00CD3F3B">
        <w:rPr>
          <w:rFonts w:ascii="Calibri" w:hAnsi="Calibri" w:cs="Calibri"/>
          <w:sz w:val="18"/>
          <w:szCs w:val="24"/>
          <w:lang w:val="en-US"/>
        </w:rPr>
        <w:t>e.g.</w:t>
      </w:r>
      <w:proofErr w:type="gramEnd"/>
      <w:r w:rsidRPr="00CD3F3B">
        <w:rPr>
          <w:rFonts w:ascii="Calibri" w:hAnsi="Calibri" w:cs="Calibri"/>
          <w:sz w:val="18"/>
          <w:szCs w:val="24"/>
          <w:lang w:val="en-US"/>
        </w:rPr>
        <w:t xml:space="preserve"> by confirmed e-mail or telephone call.</w:t>
      </w:r>
      <w:r w:rsidR="00367684">
        <w:rPr>
          <w:rFonts w:ascii="Calibri" w:hAnsi="Calibri" w:cs="Calibri"/>
          <w:sz w:val="18"/>
          <w:szCs w:val="24"/>
          <w:lang w:val="en-US"/>
        </w:rPr>
        <w:t xml:space="preserve"> </w:t>
      </w:r>
      <w:r w:rsidR="00802028" w:rsidRPr="00802028">
        <w:rPr>
          <w:rFonts w:ascii="Calibri" w:hAnsi="Calibri" w:cs="Calibri"/>
          <w:sz w:val="18"/>
          <w:szCs w:val="24"/>
          <w:lang w:val="en-US"/>
        </w:rPr>
        <w:t xml:space="preserve">The Bank may, however, terminate this agreement and close the </w:t>
      </w:r>
      <w:proofErr w:type="gramStart"/>
      <w:r w:rsidR="00802028" w:rsidRPr="00802028">
        <w:rPr>
          <w:rFonts w:ascii="Calibri" w:hAnsi="Calibri" w:cs="Calibri"/>
          <w:sz w:val="18"/>
          <w:szCs w:val="24"/>
          <w:lang w:val="en-US"/>
        </w:rPr>
        <w:t>client‘</w:t>
      </w:r>
      <w:proofErr w:type="gramEnd"/>
      <w:r w:rsidR="00802028" w:rsidRPr="00802028">
        <w:rPr>
          <w:rFonts w:ascii="Calibri" w:hAnsi="Calibri" w:cs="Calibri"/>
          <w:sz w:val="18"/>
          <w:szCs w:val="24"/>
          <w:lang w:val="en-US"/>
        </w:rPr>
        <w:t>s custody account without</w:t>
      </w:r>
      <w:r w:rsidR="00203A91">
        <w:rPr>
          <w:rFonts w:ascii="Calibri" w:hAnsi="Calibri" w:cs="Calibri"/>
          <w:sz w:val="18"/>
          <w:szCs w:val="24"/>
          <w:lang w:val="en-US"/>
        </w:rPr>
        <w:t xml:space="preserve"> prior notice or</w:t>
      </w:r>
      <w:r w:rsidR="00802028" w:rsidRPr="00802028">
        <w:rPr>
          <w:rFonts w:ascii="Calibri" w:hAnsi="Calibri" w:cs="Calibri"/>
          <w:sz w:val="18"/>
          <w:szCs w:val="24"/>
          <w:lang w:val="en-US"/>
        </w:rPr>
        <w:t xml:space="preserve"> notification, if the account has remained empty and </w:t>
      </w:r>
      <w:r w:rsidR="00525B6B">
        <w:rPr>
          <w:rFonts w:ascii="Calibri" w:hAnsi="Calibri" w:cs="Calibri"/>
          <w:sz w:val="18"/>
          <w:szCs w:val="24"/>
          <w:lang w:val="en-US"/>
        </w:rPr>
        <w:t>unto</w:t>
      </w:r>
      <w:r w:rsidR="005844A4">
        <w:rPr>
          <w:rFonts w:ascii="Calibri" w:hAnsi="Calibri" w:cs="Calibri"/>
          <w:sz w:val="18"/>
          <w:szCs w:val="24"/>
          <w:lang w:val="en-US"/>
        </w:rPr>
        <w:t>u</w:t>
      </w:r>
      <w:r w:rsidR="00525B6B">
        <w:rPr>
          <w:rFonts w:ascii="Calibri" w:hAnsi="Calibri" w:cs="Calibri"/>
          <w:sz w:val="18"/>
          <w:szCs w:val="24"/>
          <w:lang w:val="en-US"/>
        </w:rPr>
        <w:t>c</w:t>
      </w:r>
      <w:r w:rsidR="005844A4">
        <w:rPr>
          <w:rFonts w:ascii="Calibri" w:hAnsi="Calibri" w:cs="Calibri"/>
          <w:sz w:val="18"/>
          <w:szCs w:val="24"/>
          <w:lang w:val="en-US"/>
        </w:rPr>
        <w:t>h</w:t>
      </w:r>
      <w:r w:rsidR="00525B6B">
        <w:rPr>
          <w:rFonts w:ascii="Calibri" w:hAnsi="Calibri" w:cs="Calibri"/>
          <w:sz w:val="18"/>
          <w:szCs w:val="24"/>
          <w:lang w:val="en-US"/>
        </w:rPr>
        <w:t>ed</w:t>
      </w:r>
      <w:r w:rsidR="00802028" w:rsidRPr="00802028">
        <w:rPr>
          <w:rFonts w:ascii="Calibri" w:hAnsi="Calibri" w:cs="Calibri"/>
          <w:sz w:val="18"/>
          <w:szCs w:val="24"/>
          <w:lang w:val="en-US"/>
        </w:rPr>
        <w:t xml:space="preserve"> for 12 months or longer</w:t>
      </w:r>
      <w:r w:rsidR="00426184">
        <w:rPr>
          <w:rFonts w:ascii="Calibri" w:hAnsi="Calibri" w:cs="Calibri"/>
          <w:sz w:val="18"/>
          <w:szCs w:val="24"/>
          <w:lang w:val="en-US"/>
        </w:rPr>
        <w:t xml:space="preserve">. </w:t>
      </w:r>
      <w:r w:rsidRPr="00CD3F3B">
        <w:rPr>
          <w:rFonts w:ascii="Calibri" w:hAnsi="Calibri" w:cs="Calibri"/>
          <w:sz w:val="18"/>
          <w:szCs w:val="24"/>
          <w:lang w:val="en-US"/>
        </w:rPr>
        <w:t xml:space="preserve">The client may only terminate the agreement provided they have no debts to the Bank. If the agreement has been terminated, Arion Bank is permitted to close the client’s custody account and to deposit the financial assets which may be in the account into a general account in the name of the client at the Bank. </w:t>
      </w:r>
    </w:p>
    <w:p w14:paraId="3BFFA990" w14:textId="77777777" w:rsidR="005C3F5F" w:rsidRPr="00CD3F3B" w:rsidRDefault="005C3F5F">
      <w:pPr>
        <w:pStyle w:val="BodyText"/>
        <w:spacing w:after="60"/>
        <w:rPr>
          <w:rFonts w:ascii="Calibri" w:hAnsi="Calibri" w:cs="Calibri"/>
          <w:szCs w:val="24"/>
          <w:lang w:val="en-US"/>
        </w:rPr>
      </w:pPr>
      <w:bookmarkStart w:id="12" w:name="_Hlk38015959"/>
      <w:bookmarkEnd w:id="11"/>
      <w:r w:rsidRPr="00CD3F3B">
        <w:rPr>
          <w:rFonts w:ascii="Calibri" w:hAnsi="Calibri" w:cs="Calibri"/>
          <w:sz w:val="18"/>
          <w:szCs w:val="24"/>
          <w:lang w:val="en-US"/>
        </w:rPr>
        <w:t xml:space="preserve">Arion Bank can amend this agreement by notifying the client four weeks in advance. By signing this </w:t>
      </w:r>
      <w:proofErr w:type="gramStart"/>
      <w:r w:rsidRPr="00CD3F3B">
        <w:rPr>
          <w:rFonts w:ascii="Calibri" w:hAnsi="Calibri" w:cs="Calibri"/>
          <w:sz w:val="18"/>
          <w:szCs w:val="24"/>
          <w:lang w:val="en-US"/>
        </w:rPr>
        <w:t>agreement</w:t>
      </w:r>
      <w:proofErr w:type="gramEnd"/>
      <w:r w:rsidRPr="00CD3F3B">
        <w:rPr>
          <w:rFonts w:ascii="Calibri" w:hAnsi="Calibri" w:cs="Calibri"/>
          <w:sz w:val="18"/>
          <w:szCs w:val="24"/>
          <w:lang w:val="en-US"/>
        </w:rPr>
        <w:t xml:space="preserve"> the client confirms that if they have raised no objections to the contents of the new agreement within four weeks of its being sent to them, they are deemed to have agreed to its contents in their entirety.   Furthermore, the client confirms that if they request a service covered by this agreement, or as relevant the new agreement, after the new agreement was sent to the client, the client is deemed to have agreed to its contents in their entirety.  The new agreement comes into effect on the first day after the </w:t>
      </w:r>
      <w:proofErr w:type="gramStart"/>
      <w:r w:rsidRPr="00CD3F3B">
        <w:rPr>
          <w:rFonts w:ascii="Calibri" w:hAnsi="Calibri" w:cs="Calibri"/>
          <w:sz w:val="18"/>
          <w:szCs w:val="24"/>
          <w:lang w:val="en-US"/>
        </w:rPr>
        <w:t>four week</w:t>
      </w:r>
      <w:proofErr w:type="gramEnd"/>
      <w:r w:rsidRPr="00CD3F3B">
        <w:rPr>
          <w:rFonts w:ascii="Calibri" w:hAnsi="Calibri" w:cs="Calibri"/>
          <w:sz w:val="18"/>
          <w:szCs w:val="24"/>
          <w:lang w:val="en-US"/>
        </w:rPr>
        <w:t xml:space="preserve"> period has elapsed or on the day when the request for service covered by the agreement was sent, if it was sent before the four week period has elapsed. </w:t>
      </w:r>
    </w:p>
    <w:bookmarkEnd w:id="12"/>
    <w:p w14:paraId="5A18D0D4" w14:textId="77777777" w:rsidR="005C3F5F" w:rsidRPr="00CD3F3B" w:rsidRDefault="005C3F5F">
      <w:pPr>
        <w:pStyle w:val="Title"/>
        <w:rPr>
          <w:rStyle w:val="SubtleEmphasis"/>
          <w:rFonts w:cs="Calibri"/>
          <w:szCs w:val="24"/>
          <w:lang w:val="en-US"/>
        </w:rPr>
      </w:pPr>
      <w:r w:rsidRPr="00CD3F3B">
        <w:rPr>
          <w:rStyle w:val="SubtleEmphasis"/>
          <w:rFonts w:cs="Calibri"/>
          <w:caps w:val="0"/>
          <w:szCs w:val="24"/>
          <w:lang w:val="en-US"/>
        </w:rPr>
        <w:t>6. OTHER PROVISIONS</w:t>
      </w:r>
    </w:p>
    <w:p w14:paraId="051034DA" w14:textId="77777777" w:rsidR="005C3F5F" w:rsidRPr="00CD3F3B" w:rsidRDefault="005C3F5F">
      <w:pPr>
        <w:autoSpaceDE w:val="0"/>
        <w:autoSpaceDN w:val="0"/>
        <w:adjustRightInd w:val="0"/>
        <w:spacing w:after="80"/>
        <w:jc w:val="both"/>
        <w:rPr>
          <w:rFonts w:cs="Calibri"/>
          <w:lang w:val="en-US"/>
        </w:rPr>
      </w:pPr>
      <w:r w:rsidRPr="00CD3F3B">
        <w:rPr>
          <w:rStyle w:val="SubtleEmphasis"/>
          <w:rFonts w:cs="Calibri"/>
          <w:sz w:val="18"/>
          <w:lang w:val="en-US"/>
        </w:rPr>
        <w:t xml:space="preserve">This agreement supersedes all prior agreements between the parties on the same subject. </w:t>
      </w:r>
    </w:p>
    <w:p w14:paraId="59C84EE2" w14:textId="77777777" w:rsidR="005C3F5F" w:rsidRPr="00CD3F3B" w:rsidRDefault="005C3F5F">
      <w:pPr>
        <w:autoSpaceDE w:val="0"/>
        <w:autoSpaceDN w:val="0"/>
        <w:adjustRightInd w:val="0"/>
        <w:spacing w:after="80"/>
        <w:jc w:val="both"/>
        <w:rPr>
          <w:rFonts w:cs="Calibri"/>
          <w:lang w:val="en-US"/>
        </w:rPr>
      </w:pPr>
      <w:r w:rsidRPr="00CD3F3B">
        <w:rPr>
          <w:rStyle w:val="SubtleEmphasis"/>
          <w:rFonts w:cs="Calibri"/>
          <w:sz w:val="18"/>
          <w:lang w:val="en-US"/>
        </w:rPr>
        <w:t xml:space="preserve">Should a dispute arise from this agreement, the parties to the agreement will seek to solve the dispute in amicable fashion.  The client can request from Arion Bank information on available legal or administrative resources, such as the Complaints Committee on Transactions with Financial Undertakings which is located at the Financial Supervisory Authority of the Central Bank of Iceland.  Further information on the Committee can be found at the FSA’s website, www. fme.is. </w:t>
      </w:r>
    </w:p>
    <w:p w14:paraId="74871D13" w14:textId="77777777" w:rsidR="005C3F5F" w:rsidRPr="00CD3F3B" w:rsidRDefault="005C3F5F">
      <w:pPr>
        <w:autoSpaceDE w:val="0"/>
        <w:autoSpaceDN w:val="0"/>
        <w:adjustRightInd w:val="0"/>
        <w:spacing w:after="80"/>
        <w:jc w:val="both"/>
        <w:rPr>
          <w:rFonts w:cs="Calibri"/>
          <w:lang w:val="en-US"/>
        </w:rPr>
      </w:pPr>
      <w:r w:rsidRPr="00CD3F3B">
        <w:rPr>
          <w:rFonts w:cs="Calibri"/>
          <w:sz w:val="18"/>
          <w:lang w:val="en-US"/>
        </w:rPr>
        <w:t xml:space="preserve">The general terms of business for investment services between Arion Bank hf. and its clients and the general terms of business of Arion Bank complement this agreement and form an integral part of this agreement. </w:t>
      </w:r>
      <w:r w:rsidRPr="00CD3F3B">
        <w:rPr>
          <w:rStyle w:val="SubtleEmphasis"/>
          <w:rFonts w:cs="Calibri"/>
          <w:sz w:val="18"/>
          <w:lang w:val="en-US"/>
        </w:rPr>
        <w:t xml:space="preserve"> By signing this </w:t>
      </w:r>
      <w:proofErr w:type="gramStart"/>
      <w:r w:rsidRPr="00CD3F3B">
        <w:rPr>
          <w:rStyle w:val="SubtleEmphasis"/>
          <w:rFonts w:cs="Calibri"/>
          <w:sz w:val="18"/>
          <w:lang w:val="en-US"/>
        </w:rPr>
        <w:t>agreement</w:t>
      </w:r>
      <w:proofErr w:type="gramEnd"/>
      <w:r w:rsidRPr="00CD3F3B">
        <w:rPr>
          <w:rStyle w:val="SubtleEmphasis"/>
          <w:rFonts w:cs="Calibri"/>
          <w:sz w:val="18"/>
          <w:lang w:val="en-US"/>
        </w:rPr>
        <w:t xml:space="preserve"> the client confirms that they have read, understood and agreed to the contents. </w:t>
      </w:r>
    </w:p>
    <w:p w14:paraId="7E734E18" w14:textId="77777777" w:rsidR="005C3F5F" w:rsidRPr="00CD3F3B" w:rsidRDefault="005C3F5F">
      <w:pPr>
        <w:autoSpaceDE w:val="0"/>
        <w:autoSpaceDN w:val="0"/>
        <w:adjustRightInd w:val="0"/>
        <w:spacing w:after="80"/>
        <w:jc w:val="both"/>
        <w:rPr>
          <w:rFonts w:cs="Calibri"/>
          <w:lang w:val="en-US"/>
        </w:rPr>
      </w:pPr>
      <w:bookmarkStart w:id="13" w:name="_Hlk38016435"/>
      <w:r w:rsidRPr="00CD3F3B">
        <w:rPr>
          <w:rFonts w:cs="Calibri"/>
          <w:sz w:val="18"/>
          <w:lang w:val="en-US"/>
        </w:rPr>
        <w:t xml:space="preserve">The client confirms that they have regular access to the Internet and agree to receive information on Arion Bank’s policy on conflicts of interest, list of fees and charges, general terms of business, general terms of business for investment services between Arion Bank and its clients, order execution policy and information on the main characteristics and risks of financial instruments and changes to the above, on the website http://www.arionbanki.is. </w:t>
      </w:r>
      <w:r w:rsidRPr="00CD3F3B">
        <w:rPr>
          <w:rStyle w:val="SubtleEmphasis"/>
          <w:rFonts w:cs="Calibri"/>
          <w:sz w:val="18"/>
          <w:lang w:val="en-US"/>
        </w:rPr>
        <w:t xml:space="preserve"> </w:t>
      </w:r>
    </w:p>
    <w:bookmarkEnd w:id="13"/>
    <w:p w14:paraId="2887FA03" w14:textId="77777777" w:rsidR="005C3F5F" w:rsidRPr="00CD3F3B" w:rsidRDefault="005C3F5F">
      <w:pPr>
        <w:autoSpaceDE w:val="0"/>
        <w:autoSpaceDN w:val="0"/>
        <w:adjustRightInd w:val="0"/>
        <w:spacing w:after="80"/>
        <w:jc w:val="both"/>
        <w:rPr>
          <w:rFonts w:cs="Calibri"/>
          <w:lang w:val="en-US"/>
        </w:rPr>
      </w:pPr>
      <w:r w:rsidRPr="00CD3F3B">
        <w:rPr>
          <w:rStyle w:val="SubtleEmphasis"/>
          <w:rFonts w:cs="Calibri"/>
          <w:sz w:val="18"/>
          <w:lang w:val="en-US"/>
        </w:rPr>
        <w:t xml:space="preserve">Please note that the order execution policy assumes that orders can be executed outside a trading venue. By agreeing to the </w:t>
      </w:r>
      <w:proofErr w:type="gramStart"/>
      <w:r w:rsidRPr="00CD3F3B">
        <w:rPr>
          <w:rStyle w:val="SubtleEmphasis"/>
          <w:rFonts w:cs="Calibri"/>
          <w:sz w:val="18"/>
          <w:lang w:val="en-US"/>
        </w:rPr>
        <w:t>terms</w:t>
      </w:r>
      <w:proofErr w:type="gramEnd"/>
      <w:r w:rsidRPr="00CD3F3B">
        <w:rPr>
          <w:rStyle w:val="SubtleEmphasis"/>
          <w:rFonts w:cs="Calibri"/>
          <w:sz w:val="18"/>
          <w:lang w:val="en-US"/>
        </w:rPr>
        <w:t xml:space="preserve"> the client agrees that Arion Bank is authorized to execute orders outside a trading venue and declares that they have read Arion Bank’s order execution policy and agree to the rules as whole. </w:t>
      </w:r>
    </w:p>
    <w:p w14:paraId="038F1258" w14:textId="59AD86DA" w:rsidR="005C3F5F" w:rsidRPr="00CD3F3B" w:rsidRDefault="005C3F5F">
      <w:pPr>
        <w:autoSpaceDE w:val="0"/>
        <w:autoSpaceDN w:val="0"/>
        <w:adjustRightInd w:val="0"/>
        <w:spacing w:after="80"/>
        <w:jc w:val="both"/>
        <w:rPr>
          <w:rFonts w:cs="Calibri"/>
          <w:lang w:val="en-US"/>
        </w:rPr>
      </w:pPr>
      <w:r w:rsidRPr="00CD3F3B">
        <w:rPr>
          <w:rFonts w:cs="Calibri"/>
          <w:sz w:val="18"/>
          <w:lang w:val="en-US"/>
        </w:rPr>
        <w:t xml:space="preserve">The client confirms that they are aware that </w:t>
      </w:r>
      <w:proofErr w:type="gramStart"/>
      <w:r w:rsidRPr="00CD3F3B">
        <w:rPr>
          <w:rFonts w:cs="Calibri"/>
          <w:sz w:val="18"/>
          <w:lang w:val="en-US"/>
        </w:rPr>
        <w:t>in order to</w:t>
      </w:r>
      <w:proofErr w:type="gramEnd"/>
      <w:r w:rsidRPr="00CD3F3B">
        <w:rPr>
          <w:rFonts w:cs="Calibri"/>
          <w:sz w:val="18"/>
          <w:lang w:val="en-US"/>
        </w:rPr>
        <w:t xml:space="preserve"> fulfil its obligations pursuant to these terms, it is necessary for the Bank to collect and process personal information pursuant to the Data Protection Act No. 90/2018. Arion Bank is considered a controller as defined in the above Act, and the aim of collecting and processing personal information is to ensure that the Bank can fulfil its obligations to its </w:t>
      </w:r>
      <w:r w:rsidRPr="00CD3F3B">
        <w:rPr>
          <w:rFonts w:cs="Calibri"/>
          <w:sz w:val="18"/>
          <w:szCs w:val="18"/>
          <w:lang w:val="en-US"/>
        </w:rPr>
        <w:t>clients and provide them with the services which the Bank is authorized to provide. A client will usually be identified by ID-No</w:t>
      </w:r>
      <w:r w:rsidR="00791FEB">
        <w:rPr>
          <w:rFonts w:cs="Calibri"/>
          <w:sz w:val="18"/>
          <w:szCs w:val="18"/>
          <w:lang w:val="en-US"/>
        </w:rPr>
        <w:t>. and/or NCI</w:t>
      </w:r>
      <w:r w:rsidRPr="00CD3F3B">
        <w:rPr>
          <w:rFonts w:cs="Calibri"/>
          <w:sz w:val="18"/>
          <w:szCs w:val="18"/>
          <w:lang w:val="en-US"/>
        </w:rPr>
        <w:t>. A</w:t>
      </w:r>
      <w:r w:rsidRPr="00CD3F3B">
        <w:rPr>
          <w:rFonts w:cs="Calibri"/>
          <w:sz w:val="18"/>
          <w:lang w:val="en-US"/>
        </w:rPr>
        <w:t>ttention is drawn to Arion Bank's policy on data protection and the general terms of business which contain further information on the processing of personal data by Arion Bank in accordance with the Data Protection Act No. 90/2018.</w:t>
      </w:r>
    </w:p>
    <w:p w14:paraId="22BF77DD" w14:textId="4EFEBD09" w:rsidR="005C3F5F" w:rsidRDefault="005C3F5F">
      <w:pPr>
        <w:autoSpaceDE w:val="0"/>
        <w:autoSpaceDN w:val="0"/>
        <w:adjustRightInd w:val="0"/>
        <w:spacing w:after="80"/>
        <w:jc w:val="both"/>
        <w:rPr>
          <w:rStyle w:val="SubtleEmphasis"/>
          <w:rFonts w:cs="Calibri"/>
          <w:sz w:val="18"/>
          <w:lang w:val="en-US"/>
        </w:rPr>
      </w:pPr>
      <w:r w:rsidRPr="00CD3F3B">
        <w:rPr>
          <w:rStyle w:val="SubtleEmphasis"/>
          <w:rFonts w:cs="Calibri"/>
          <w:sz w:val="18"/>
          <w:lang w:val="en-US"/>
        </w:rPr>
        <w:t xml:space="preserve">The directors of the company, managing directors, auditors, </w:t>
      </w:r>
      <w:proofErr w:type="gramStart"/>
      <w:r w:rsidRPr="00CD3F3B">
        <w:rPr>
          <w:rStyle w:val="SubtleEmphasis"/>
          <w:rFonts w:cs="Calibri"/>
          <w:sz w:val="18"/>
          <w:lang w:val="en-US"/>
        </w:rPr>
        <w:t>employees</w:t>
      </w:r>
      <w:proofErr w:type="gramEnd"/>
      <w:r w:rsidRPr="00CD3F3B">
        <w:rPr>
          <w:rStyle w:val="SubtleEmphasis"/>
          <w:rFonts w:cs="Calibri"/>
          <w:sz w:val="18"/>
          <w:lang w:val="en-US"/>
        </w:rPr>
        <w:t xml:space="preserve"> and any persons undertaking tasks on behalf of the Bank shall be bound by an obligation of confidentiality concerning any information of which they may become aware in the course of their duties concerning the business dealings or private concerns of the client, unless obliged by law to provide information. The obligation of confidentiality shall remain even after their employment ceases.</w:t>
      </w:r>
      <w:r w:rsidRPr="00CD3F3B">
        <w:rPr>
          <w:rFonts w:cs="Calibri"/>
          <w:sz w:val="22"/>
          <w:lang w:val="en-US"/>
        </w:rPr>
        <w:t xml:space="preserve"> </w:t>
      </w:r>
      <w:r w:rsidRPr="00CD3F3B">
        <w:rPr>
          <w:rStyle w:val="SubtleEmphasis"/>
          <w:rFonts w:cs="Calibri"/>
          <w:sz w:val="18"/>
          <w:lang w:val="en-US"/>
        </w:rPr>
        <w:t xml:space="preserve">Arion Bank reserves the right to send information to a third party which processes information on behalf of Arion Bank, keep financial instruments and other financial assets of the clients, </w:t>
      </w:r>
      <w:proofErr w:type="gramStart"/>
      <w:r w:rsidRPr="00CD3F3B">
        <w:rPr>
          <w:rStyle w:val="SubtleEmphasis"/>
          <w:rFonts w:cs="Calibri"/>
          <w:sz w:val="18"/>
          <w:lang w:val="en-US"/>
        </w:rPr>
        <w:t>execute</w:t>
      </w:r>
      <w:proofErr w:type="gramEnd"/>
      <w:r w:rsidRPr="00CD3F3B">
        <w:rPr>
          <w:rStyle w:val="SubtleEmphasis"/>
          <w:rFonts w:cs="Calibri"/>
          <w:sz w:val="18"/>
          <w:lang w:val="en-US"/>
        </w:rPr>
        <w:t xml:space="preserve"> or settle transactions or performs related tasks for Arion Bank or the client.</w:t>
      </w:r>
    </w:p>
    <w:p w14:paraId="1DA6E2B4" w14:textId="2653E477" w:rsidR="009070A7" w:rsidRDefault="009070A7">
      <w:pPr>
        <w:rPr>
          <w:rStyle w:val="SubtleEmphasis"/>
          <w:rFonts w:cs="Calibri"/>
          <w:sz w:val="18"/>
          <w:lang w:val="en-US"/>
        </w:rPr>
      </w:pPr>
      <w:r>
        <w:rPr>
          <w:rStyle w:val="SubtleEmphasis"/>
          <w:rFonts w:cs="Calibri"/>
          <w:sz w:val="18"/>
          <w:lang w:val="en-US"/>
        </w:rPr>
        <w:br w:type="page"/>
      </w:r>
    </w:p>
    <w:tbl>
      <w:tblPr>
        <w:tblW w:w="5000" w:type="pct"/>
        <w:tblLayout w:type="fixed"/>
        <w:tblLook w:val="04A0" w:firstRow="1" w:lastRow="0" w:firstColumn="1" w:lastColumn="0" w:noHBand="0" w:noVBand="1"/>
      </w:tblPr>
      <w:tblGrid>
        <w:gridCol w:w="7566"/>
        <w:gridCol w:w="2298"/>
      </w:tblGrid>
      <w:tr w:rsidR="009070A7" w:rsidRPr="00CD3F3B" w14:paraId="1DF610C1" w14:textId="77777777" w:rsidTr="006F160D">
        <w:tc>
          <w:tcPr>
            <w:tcW w:w="3835" w:type="pct"/>
          </w:tcPr>
          <w:p w14:paraId="74A94AB1" w14:textId="77777777" w:rsidR="009070A7" w:rsidRPr="00355137" w:rsidRDefault="009070A7" w:rsidP="006F160D">
            <w:pPr>
              <w:rPr>
                <w:rFonts w:ascii="Arial" w:eastAsia="Malgun Gothic" w:hAnsi="Arial" w:cs="Arial"/>
                <w:b/>
                <w:color w:val="19488C"/>
                <w:spacing w:val="20"/>
                <w:kern w:val="28"/>
                <w:lang w:val="en-US"/>
              </w:rPr>
            </w:pPr>
            <w:bookmarkStart w:id="14" w:name="_Hlk83381658"/>
            <w:r w:rsidRPr="00355137">
              <w:rPr>
                <w:rFonts w:ascii="Arial" w:hAnsi="Arial" w:cs="Arial"/>
                <w:b/>
                <w:color w:val="19488C"/>
                <w:spacing w:val="20"/>
                <w:kern w:val="28"/>
                <w:lang w:val="en-US"/>
              </w:rPr>
              <w:lastRenderedPageBreak/>
              <w:t>Agreement</w:t>
            </w:r>
          </w:p>
        </w:tc>
        <w:tc>
          <w:tcPr>
            <w:tcW w:w="1165" w:type="pct"/>
          </w:tcPr>
          <w:p w14:paraId="1DA354B9" w14:textId="77777777" w:rsidR="009070A7" w:rsidRPr="00CD3F3B" w:rsidRDefault="009070A7" w:rsidP="006F160D">
            <w:pPr>
              <w:tabs>
                <w:tab w:val="left" w:pos="646"/>
              </w:tabs>
              <w:jc w:val="right"/>
              <w:rPr>
                <w:rFonts w:cs="Calibri"/>
                <w:sz w:val="20"/>
                <w:lang w:val="en-US"/>
              </w:rPr>
            </w:pPr>
            <w:r w:rsidRPr="00CD3F3B">
              <w:rPr>
                <w:rFonts w:cs="Calibri"/>
                <w:noProof/>
                <w:snapToGrid/>
                <w:lang w:val="en-US"/>
              </w:rPr>
              <w:drawing>
                <wp:anchor distT="0" distB="0" distL="114300" distR="114300" simplePos="0" relativeHeight="251666944" behindDoc="1" locked="0" layoutInCell="1" allowOverlap="1" wp14:anchorId="743C487F" wp14:editId="47B626F9">
                  <wp:simplePos x="0" y="0"/>
                  <wp:positionH relativeFrom="column">
                    <wp:posOffset>247650</wp:posOffset>
                  </wp:positionH>
                  <wp:positionV relativeFrom="page">
                    <wp:posOffset>-2540</wp:posOffset>
                  </wp:positionV>
                  <wp:extent cx="1144905" cy="24828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11794" t="30518" r="12254" b="33659"/>
                          <a:stretch>
                            <a:fillRect/>
                          </a:stretch>
                        </pic:blipFill>
                        <pic:spPr bwMode="auto">
                          <a:xfrm>
                            <a:off x="0" y="0"/>
                            <a:ext cx="1144905" cy="248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070A7" w:rsidRPr="00CD3F3B" w14:paraId="27D6BDCE" w14:textId="77777777" w:rsidTr="006F160D">
        <w:trPr>
          <w:trHeight w:val="397"/>
        </w:trPr>
        <w:tc>
          <w:tcPr>
            <w:tcW w:w="3835" w:type="pct"/>
            <w:vAlign w:val="center"/>
          </w:tcPr>
          <w:p w14:paraId="03ED83E6" w14:textId="77777777" w:rsidR="009070A7" w:rsidRPr="00355137" w:rsidRDefault="009070A7" w:rsidP="006F160D">
            <w:pPr>
              <w:rPr>
                <w:rFonts w:ascii="Arial" w:hAnsi="Arial" w:cs="Arial"/>
                <w:color w:val="19488C"/>
                <w:spacing w:val="15"/>
                <w:sz w:val="22"/>
                <w:lang w:val="en-US"/>
              </w:rPr>
            </w:pPr>
            <w:r w:rsidRPr="00355137">
              <w:rPr>
                <w:rFonts w:ascii="Arial" w:hAnsi="Arial" w:cs="Arial"/>
                <w:color w:val="19488C"/>
                <w:spacing w:val="15"/>
                <w:sz w:val="22"/>
                <w:lang w:val="en-US"/>
              </w:rPr>
              <w:t>on investment services - individual</w:t>
            </w:r>
          </w:p>
        </w:tc>
        <w:tc>
          <w:tcPr>
            <w:tcW w:w="1165" w:type="pct"/>
            <w:vAlign w:val="bottom"/>
          </w:tcPr>
          <w:p w14:paraId="49E9C27B" w14:textId="77777777" w:rsidR="009070A7" w:rsidRPr="00CD3F3B" w:rsidRDefault="009070A7" w:rsidP="006F160D">
            <w:pPr>
              <w:jc w:val="right"/>
              <w:rPr>
                <w:rFonts w:cs="Calibri"/>
                <w:sz w:val="18"/>
                <w:lang w:val="en-US"/>
              </w:rPr>
            </w:pPr>
          </w:p>
        </w:tc>
      </w:tr>
      <w:bookmarkEnd w:id="14"/>
    </w:tbl>
    <w:p w14:paraId="70E74E07" w14:textId="77777777" w:rsidR="009070A7" w:rsidRPr="00CD3F3B" w:rsidRDefault="009070A7">
      <w:pPr>
        <w:autoSpaceDE w:val="0"/>
        <w:autoSpaceDN w:val="0"/>
        <w:adjustRightInd w:val="0"/>
        <w:spacing w:after="80"/>
        <w:jc w:val="both"/>
        <w:rPr>
          <w:rFonts w:cs="Calibri"/>
          <w:lang w:val="en-US"/>
        </w:rPr>
      </w:pPr>
    </w:p>
    <w:p w14:paraId="26660E1D" w14:textId="3E7ECFBC" w:rsidR="005C3F5F" w:rsidRPr="00CD3F3B" w:rsidRDefault="005C3F5F">
      <w:pPr>
        <w:autoSpaceDE w:val="0"/>
        <w:autoSpaceDN w:val="0"/>
        <w:adjustRightInd w:val="0"/>
        <w:spacing w:after="80"/>
        <w:jc w:val="both"/>
        <w:rPr>
          <w:rFonts w:cs="Calibri"/>
          <w:lang w:val="en-US"/>
        </w:rPr>
      </w:pPr>
      <w:r w:rsidRPr="00CD3F3B">
        <w:rPr>
          <w:rStyle w:val="SubtleEmphasis"/>
          <w:rFonts w:cs="Calibri"/>
          <w:sz w:val="18"/>
          <w:lang w:val="en-US"/>
        </w:rPr>
        <w:t>Various laws and regulations apply to transactions and services pursuant to this agreement, particularly, but not restricted to, the Markets for Financial Instruments Act. The client is encouraged to read the applicable laws and regulations at any given time and to obtain advice as required, such as external specialist advice if the client deems it necessary.</w:t>
      </w:r>
    </w:p>
    <w:p w14:paraId="149BCF74" w14:textId="77777777" w:rsidR="005C3F5F" w:rsidRPr="00CD3F3B" w:rsidRDefault="005C3F5F">
      <w:pPr>
        <w:autoSpaceDE w:val="0"/>
        <w:autoSpaceDN w:val="0"/>
        <w:adjustRightInd w:val="0"/>
        <w:spacing w:after="80"/>
        <w:jc w:val="both"/>
        <w:rPr>
          <w:rStyle w:val="SubtleEmphasis"/>
          <w:rFonts w:cs="Calibri"/>
          <w:sz w:val="18"/>
          <w:lang w:val="en-US"/>
        </w:rPr>
      </w:pPr>
      <w:r w:rsidRPr="00CD3F3B">
        <w:rPr>
          <w:rStyle w:val="SubtleEmphasis"/>
          <w:rFonts w:cs="Calibri"/>
          <w:sz w:val="18"/>
          <w:lang w:val="en-US"/>
        </w:rPr>
        <w:t xml:space="preserve">In the event of any discrepancies between this agreement and the general terms of business for investment services, the provisions of this agreement shall apply.   </w:t>
      </w:r>
    </w:p>
    <w:p w14:paraId="38725A4D" w14:textId="77777777" w:rsidR="005C3F5F" w:rsidRPr="00CD3F3B" w:rsidRDefault="005C3F5F">
      <w:pPr>
        <w:autoSpaceDE w:val="0"/>
        <w:autoSpaceDN w:val="0"/>
        <w:adjustRightInd w:val="0"/>
        <w:spacing w:after="80"/>
        <w:jc w:val="both"/>
        <w:rPr>
          <w:rFonts w:cs="Calibri"/>
          <w:lang w:val="en-US"/>
        </w:rPr>
      </w:pPr>
      <w:r w:rsidRPr="00CD3F3B">
        <w:rPr>
          <w:rFonts w:cs="Calibri"/>
          <w:sz w:val="18"/>
          <w:lang w:val="en-US"/>
        </w:rPr>
        <w:t xml:space="preserve">The client does not have the right to cancel individual transactions made </w:t>
      </w:r>
      <w:proofErr w:type="gramStart"/>
      <w:r w:rsidRPr="00CD3F3B">
        <w:rPr>
          <w:rFonts w:cs="Calibri"/>
          <w:sz w:val="18"/>
          <w:lang w:val="en-US"/>
        </w:rPr>
        <w:t>on the basis of</w:t>
      </w:r>
      <w:proofErr w:type="gramEnd"/>
      <w:r w:rsidRPr="00CD3F3B">
        <w:rPr>
          <w:rFonts w:cs="Calibri"/>
          <w:sz w:val="18"/>
          <w:lang w:val="en-US"/>
        </w:rPr>
        <w:t xml:space="preserve"> this agreement, cf. Article 12 of Distance Marketing of Financial Services Act No. 33/2005.</w:t>
      </w:r>
      <w:r w:rsidRPr="00CD3F3B">
        <w:rPr>
          <w:rStyle w:val="SubtleEmphasis"/>
          <w:rFonts w:cs="Calibri"/>
          <w:sz w:val="18"/>
          <w:lang w:val="en-US"/>
        </w:rPr>
        <w:t xml:space="preserve"> </w:t>
      </w:r>
    </w:p>
    <w:p w14:paraId="15FF088D" w14:textId="77777777" w:rsidR="005C3F5F" w:rsidRPr="00CD3F3B" w:rsidRDefault="005C3F5F">
      <w:pPr>
        <w:autoSpaceDE w:val="0"/>
        <w:autoSpaceDN w:val="0"/>
        <w:adjustRightInd w:val="0"/>
        <w:spacing w:after="80"/>
        <w:jc w:val="both"/>
        <w:rPr>
          <w:rFonts w:cs="Calibri"/>
          <w:lang w:val="en-US"/>
        </w:rPr>
      </w:pPr>
      <w:bookmarkStart w:id="15" w:name="_Hlk30429087"/>
      <w:r w:rsidRPr="00CD3F3B">
        <w:rPr>
          <w:rStyle w:val="SubtleEmphasis"/>
          <w:rFonts w:cs="Calibri"/>
          <w:sz w:val="18"/>
          <w:lang w:val="en-US"/>
        </w:rPr>
        <w:t xml:space="preserve">This agreement is made in two identical copies, one copy being kept by each party. </w:t>
      </w:r>
    </w:p>
    <w:bookmarkEnd w:id="15"/>
    <w:p w14:paraId="73F7D51F" w14:textId="77777777" w:rsidR="005C3F5F" w:rsidRPr="00CD3F3B" w:rsidRDefault="005C3F5F">
      <w:pPr>
        <w:autoSpaceDE w:val="0"/>
        <w:autoSpaceDN w:val="0"/>
        <w:adjustRightInd w:val="0"/>
        <w:spacing w:after="80"/>
        <w:jc w:val="both"/>
        <w:rPr>
          <w:rFonts w:cs="Calibri"/>
          <w:lang w:val="en-US"/>
        </w:rPr>
      </w:pPr>
      <w:r w:rsidRPr="00CD3F3B">
        <w:rPr>
          <w:rFonts w:cs="Calibri"/>
          <w:sz w:val="18"/>
          <w:lang w:val="en-US"/>
        </w:rPr>
        <w:t xml:space="preserve">The client confirms by signing this agreement that they have read, </w:t>
      </w:r>
      <w:proofErr w:type="gramStart"/>
      <w:r w:rsidRPr="00CD3F3B">
        <w:rPr>
          <w:rFonts w:cs="Calibri"/>
          <w:sz w:val="18"/>
          <w:lang w:val="en-US"/>
        </w:rPr>
        <w:t>understood</w:t>
      </w:r>
      <w:proofErr w:type="gramEnd"/>
      <w:r w:rsidRPr="00CD3F3B">
        <w:rPr>
          <w:rFonts w:cs="Calibri"/>
          <w:sz w:val="18"/>
          <w:lang w:val="en-US"/>
        </w:rPr>
        <w:t xml:space="preserve"> and agreed to the contents of the agreement. The client also confirms by signing that they accept the services and the obligations which this agreement entails.</w:t>
      </w:r>
    </w:p>
    <w:p w14:paraId="05B8068B" w14:textId="77777777" w:rsidR="005C3F5F" w:rsidRPr="00CD3F3B" w:rsidRDefault="005C3F5F">
      <w:pPr>
        <w:autoSpaceDE w:val="0"/>
        <w:autoSpaceDN w:val="0"/>
        <w:adjustRightInd w:val="0"/>
        <w:spacing w:after="80"/>
        <w:jc w:val="both"/>
        <w:rPr>
          <w:rStyle w:val="SubtleEmphasis"/>
          <w:rFonts w:cs="Calibri"/>
          <w:lang w:val="en-US"/>
        </w:rPr>
      </w:pPr>
    </w:p>
    <w:tbl>
      <w:tblPr>
        <w:tblW w:w="5000" w:type="pct"/>
        <w:tblLayout w:type="fixed"/>
        <w:tblLook w:val="04A0" w:firstRow="1" w:lastRow="0" w:firstColumn="1" w:lastColumn="0" w:noHBand="0" w:noVBand="1"/>
      </w:tblPr>
      <w:tblGrid>
        <w:gridCol w:w="4794"/>
        <w:gridCol w:w="278"/>
        <w:gridCol w:w="4792"/>
      </w:tblGrid>
      <w:tr w:rsidR="005C3F5F" w:rsidRPr="00CD3F3B" w14:paraId="0F320DF7" w14:textId="77777777">
        <w:tc>
          <w:tcPr>
            <w:tcW w:w="2430" w:type="pct"/>
          </w:tcPr>
          <w:p w14:paraId="7FDFB4C5" w14:textId="77777777" w:rsidR="005C3F5F" w:rsidRPr="00CD3F3B" w:rsidRDefault="005C3F5F">
            <w:pPr>
              <w:pStyle w:val="NoSpacing"/>
              <w:rPr>
                <w:rStyle w:val="SubtleEmphasis"/>
                <w:rFonts w:cs="Calibri"/>
                <w:sz w:val="24"/>
                <w:lang w:val="en-US"/>
              </w:rPr>
            </w:pPr>
            <w:r w:rsidRPr="00CD3F3B">
              <w:rPr>
                <w:rStyle w:val="SubtleEmphasis"/>
                <w:rFonts w:cs="Calibri"/>
                <w:sz w:val="16"/>
                <w:lang w:val="en-US"/>
              </w:rPr>
              <w:t xml:space="preserve">Witnesses to the correct date, </w:t>
            </w:r>
            <w:proofErr w:type="gramStart"/>
            <w:r w:rsidRPr="00CD3F3B">
              <w:rPr>
                <w:rStyle w:val="SubtleEmphasis"/>
                <w:rFonts w:cs="Calibri"/>
                <w:sz w:val="16"/>
                <w:lang w:val="en-US"/>
              </w:rPr>
              <w:t>signature</w:t>
            </w:r>
            <w:proofErr w:type="gramEnd"/>
            <w:r w:rsidRPr="00CD3F3B">
              <w:rPr>
                <w:rStyle w:val="SubtleEmphasis"/>
                <w:rFonts w:cs="Calibri"/>
                <w:sz w:val="16"/>
                <w:lang w:val="en-US"/>
              </w:rPr>
              <w:t xml:space="preserve"> and financial competence:</w:t>
            </w:r>
          </w:p>
        </w:tc>
        <w:tc>
          <w:tcPr>
            <w:tcW w:w="141" w:type="pct"/>
          </w:tcPr>
          <w:p w14:paraId="4426E533" w14:textId="77777777" w:rsidR="005C3F5F" w:rsidRPr="00CD3F3B" w:rsidRDefault="005C3F5F">
            <w:pPr>
              <w:pStyle w:val="NoSpacing"/>
              <w:rPr>
                <w:rStyle w:val="SubtleEmphasis"/>
                <w:rFonts w:cs="Calibri"/>
                <w:lang w:val="en-US"/>
              </w:rPr>
            </w:pPr>
          </w:p>
        </w:tc>
        <w:tc>
          <w:tcPr>
            <w:tcW w:w="2429" w:type="pct"/>
            <w:tcBorders>
              <w:bottom w:val="single" w:sz="2" w:space="0" w:color="auto"/>
            </w:tcBorders>
          </w:tcPr>
          <w:p w14:paraId="2333A447" w14:textId="77777777" w:rsidR="005C3F5F" w:rsidRPr="00CD3F3B" w:rsidRDefault="005C3F5F">
            <w:pPr>
              <w:pStyle w:val="NoSpacing"/>
              <w:rPr>
                <w:rStyle w:val="SubtleEmphasis"/>
                <w:rFonts w:cs="Calibri"/>
                <w:lang w:val="en-US"/>
              </w:rPr>
            </w:pPr>
            <w:r w:rsidRPr="00CD3F3B">
              <w:rPr>
                <w:rStyle w:val="SubtleEmphasis"/>
                <w:rFonts w:cs="Calibri"/>
                <w:lang w:val="en-US"/>
              </w:rPr>
              <w:fldChar w:fldCharType="begin">
                <w:ffData>
                  <w:name w:val="Text13"/>
                  <w:enabled/>
                  <w:calcOnExit w:val="0"/>
                  <w:textInput/>
                </w:ffData>
              </w:fldChar>
            </w:r>
            <w:r w:rsidRPr="00CD3F3B">
              <w:rPr>
                <w:rStyle w:val="SubtleEmphasis"/>
                <w:rFonts w:cs="Calibri"/>
                <w:lang w:val="en-US"/>
              </w:rPr>
              <w:instrText xml:space="preserve"> FORMTEXT </w:instrText>
            </w:r>
            <w:r w:rsidRPr="00CD3F3B">
              <w:rPr>
                <w:rStyle w:val="SubtleEmphasis"/>
                <w:rFonts w:cs="Calibri"/>
                <w:lang w:val="en-US"/>
              </w:rPr>
            </w:r>
            <w:r w:rsidRPr="00CD3F3B">
              <w:rPr>
                <w:rStyle w:val="SubtleEmphasis"/>
                <w:rFonts w:cs="Calibri"/>
                <w:lang w:val="en-US"/>
              </w:rPr>
              <w:fldChar w:fldCharType="separate"/>
            </w:r>
            <w:r w:rsidRPr="00CD3F3B">
              <w:rPr>
                <w:rStyle w:val="SubtleEmphasis"/>
                <w:rFonts w:cs="Calibri"/>
                <w:lang w:val="en-US"/>
              </w:rPr>
              <w:t> </w:t>
            </w:r>
            <w:r w:rsidRPr="00CD3F3B">
              <w:rPr>
                <w:rStyle w:val="SubtleEmphasis"/>
                <w:rFonts w:cs="Calibri"/>
                <w:lang w:val="en-US"/>
              </w:rPr>
              <w:t> </w:t>
            </w:r>
            <w:r w:rsidRPr="00CD3F3B">
              <w:rPr>
                <w:rStyle w:val="SubtleEmphasis"/>
                <w:rFonts w:cs="Calibri"/>
                <w:lang w:val="en-US"/>
              </w:rPr>
              <w:t> </w:t>
            </w:r>
            <w:r w:rsidRPr="00CD3F3B">
              <w:rPr>
                <w:rStyle w:val="SubtleEmphasis"/>
                <w:rFonts w:cs="Calibri"/>
                <w:lang w:val="en-US"/>
              </w:rPr>
              <w:t> </w:t>
            </w:r>
            <w:r w:rsidRPr="00CD3F3B">
              <w:rPr>
                <w:rStyle w:val="SubtleEmphasis"/>
                <w:rFonts w:cs="Calibri"/>
                <w:lang w:val="en-US"/>
              </w:rPr>
              <w:t> </w:t>
            </w:r>
            <w:r w:rsidRPr="00CD3F3B">
              <w:rPr>
                <w:rStyle w:val="SubtleEmphasis"/>
                <w:rFonts w:cs="Calibri"/>
                <w:lang w:val="en-US"/>
              </w:rPr>
              <w:fldChar w:fldCharType="end"/>
            </w:r>
          </w:p>
        </w:tc>
      </w:tr>
      <w:tr w:rsidR="005C3F5F" w:rsidRPr="00CD3F3B" w14:paraId="1DC3A8F4" w14:textId="77777777">
        <w:tc>
          <w:tcPr>
            <w:tcW w:w="2430" w:type="pct"/>
          </w:tcPr>
          <w:p w14:paraId="0E4E6BDD" w14:textId="77777777" w:rsidR="005C3F5F" w:rsidRPr="00CD3F3B" w:rsidRDefault="005C3F5F">
            <w:pPr>
              <w:pStyle w:val="NoSpacing"/>
              <w:rPr>
                <w:rStyle w:val="Strong"/>
                <w:rFonts w:cs="Calibri"/>
                <w:bCs/>
                <w:lang w:val="en-US"/>
              </w:rPr>
            </w:pPr>
          </w:p>
        </w:tc>
        <w:tc>
          <w:tcPr>
            <w:tcW w:w="141" w:type="pct"/>
          </w:tcPr>
          <w:p w14:paraId="718CBA6D" w14:textId="77777777" w:rsidR="005C3F5F" w:rsidRPr="00CD3F3B" w:rsidRDefault="005C3F5F">
            <w:pPr>
              <w:pStyle w:val="NoSpacing"/>
              <w:rPr>
                <w:rStyle w:val="Strong"/>
                <w:rFonts w:cs="Calibri"/>
                <w:bCs/>
                <w:lang w:val="en-US"/>
              </w:rPr>
            </w:pPr>
          </w:p>
        </w:tc>
        <w:tc>
          <w:tcPr>
            <w:tcW w:w="2429" w:type="pct"/>
            <w:tcBorders>
              <w:top w:val="single" w:sz="2" w:space="0" w:color="auto"/>
            </w:tcBorders>
          </w:tcPr>
          <w:p w14:paraId="3ED8C9D4" w14:textId="77777777" w:rsidR="005C3F5F" w:rsidRPr="00CD3F3B" w:rsidRDefault="005C3F5F">
            <w:pPr>
              <w:pStyle w:val="NoSpacing"/>
              <w:rPr>
                <w:rStyle w:val="Strong"/>
                <w:rFonts w:cs="Calibri"/>
                <w:bCs/>
                <w:sz w:val="24"/>
                <w:lang w:val="en-US"/>
              </w:rPr>
            </w:pPr>
            <w:r w:rsidRPr="00CD3F3B">
              <w:rPr>
                <w:rStyle w:val="Strong"/>
                <w:rFonts w:cs="Calibri"/>
                <w:bCs/>
                <w:lang w:val="en-US"/>
              </w:rPr>
              <w:t>Place and date</w:t>
            </w:r>
          </w:p>
        </w:tc>
      </w:tr>
      <w:tr w:rsidR="005C3F5F" w:rsidRPr="00CD3F3B" w14:paraId="57964687" w14:textId="77777777">
        <w:trPr>
          <w:trHeight w:val="454"/>
        </w:trPr>
        <w:tc>
          <w:tcPr>
            <w:tcW w:w="2430" w:type="pct"/>
            <w:tcBorders>
              <w:bottom w:val="single" w:sz="2" w:space="0" w:color="auto"/>
            </w:tcBorders>
          </w:tcPr>
          <w:p w14:paraId="7635516F" w14:textId="77777777" w:rsidR="005C3F5F" w:rsidRPr="00CD3F3B" w:rsidRDefault="005C3F5F">
            <w:pPr>
              <w:pStyle w:val="NoSpacing"/>
              <w:rPr>
                <w:rFonts w:cs="Calibri"/>
                <w:bCs/>
                <w:lang w:val="en-US"/>
              </w:rPr>
            </w:pPr>
          </w:p>
        </w:tc>
        <w:tc>
          <w:tcPr>
            <w:tcW w:w="141" w:type="pct"/>
          </w:tcPr>
          <w:p w14:paraId="76820363" w14:textId="77777777" w:rsidR="005C3F5F" w:rsidRPr="00CD3F3B" w:rsidRDefault="005C3F5F">
            <w:pPr>
              <w:pStyle w:val="NoSpacing"/>
              <w:rPr>
                <w:rFonts w:cs="Calibri"/>
                <w:bCs/>
                <w:lang w:val="en-US"/>
              </w:rPr>
            </w:pPr>
          </w:p>
        </w:tc>
        <w:tc>
          <w:tcPr>
            <w:tcW w:w="2429" w:type="pct"/>
            <w:tcBorders>
              <w:bottom w:val="single" w:sz="2" w:space="0" w:color="auto"/>
            </w:tcBorders>
          </w:tcPr>
          <w:p w14:paraId="74C8D4BD" w14:textId="77777777" w:rsidR="005C3F5F" w:rsidRPr="00CD3F3B" w:rsidRDefault="005C3F5F">
            <w:pPr>
              <w:pStyle w:val="NoSpacing"/>
              <w:rPr>
                <w:rFonts w:cs="Calibri"/>
                <w:bCs/>
                <w:lang w:val="en-US"/>
              </w:rPr>
            </w:pPr>
          </w:p>
        </w:tc>
      </w:tr>
      <w:tr w:rsidR="005C3F5F" w:rsidRPr="00CD3F3B" w14:paraId="7F790DE2" w14:textId="77777777">
        <w:tc>
          <w:tcPr>
            <w:tcW w:w="2430" w:type="pct"/>
            <w:tcBorders>
              <w:top w:val="single" w:sz="2" w:space="0" w:color="auto"/>
            </w:tcBorders>
          </w:tcPr>
          <w:p w14:paraId="3B1C8A3A" w14:textId="77777777" w:rsidR="005C3F5F" w:rsidRPr="00CD3F3B" w:rsidRDefault="005C3F5F">
            <w:pPr>
              <w:pStyle w:val="NoSpacing"/>
              <w:rPr>
                <w:rStyle w:val="Strong"/>
                <w:rFonts w:cs="Calibri"/>
                <w:bCs/>
                <w:lang w:val="en-US"/>
              </w:rPr>
            </w:pPr>
            <w:r w:rsidRPr="00CD3F3B">
              <w:rPr>
                <w:rStyle w:val="Strong"/>
                <w:rFonts w:cs="Calibri"/>
                <w:bCs/>
                <w:lang w:val="en-US"/>
              </w:rPr>
              <w:t xml:space="preserve">Name                                                                                         ID-No. </w:t>
            </w:r>
          </w:p>
        </w:tc>
        <w:tc>
          <w:tcPr>
            <w:tcW w:w="141" w:type="pct"/>
          </w:tcPr>
          <w:p w14:paraId="50EF9D19" w14:textId="77777777" w:rsidR="005C3F5F" w:rsidRPr="00CD3F3B" w:rsidRDefault="005C3F5F">
            <w:pPr>
              <w:pStyle w:val="NoSpacing"/>
              <w:rPr>
                <w:rStyle w:val="Strong"/>
                <w:rFonts w:cs="Calibri"/>
                <w:bCs/>
                <w:lang w:val="en-US"/>
              </w:rPr>
            </w:pPr>
          </w:p>
        </w:tc>
        <w:tc>
          <w:tcPr>
            <w:tcW w:w="2429" w:type="pct"/>
            <w:tcBorders>
              <w:top w:val="single" w:sz="2" w:space="0" w:color="auto"/>
            </w:tcBorders>
          </w:tcPr>
          <w:p w14:paraId="136AB39B" w14:textId="77777777" w:rsidR="005C3F5F" w:rsidRPr="00CD3F3B" w:rsidRDefault="005C3F5F">
            <w:pPr>
              <w:pStyle w:val="NoSpacing"/>
              <w:rPr>
                <w:rStyle w:val="Strong"/>
                <w:rFonts w:cs="Calibri"/>
                <w:bCs/>
                <w:sz w:val="24"/>
                <w:lang w:val="en-US"/>
              </w:rPr>
            </w:pPr>
            <w:r w:rsidRPr="00CD3F3B">
              <w:rPr>
                <w:rStyle w:val="Strong"/>
                <w:rFonts w:cs="Calibri"/>
                <w:bCs/>
                <w:lang w:val="en-US"/>
              </w:rPr>
              <w:t>Client’s signature</w:t>
            </w:r>
          </w:p>
        </w:tc>
      </w:tr>
      <w:tr w:rsidR="005C3F5F" w:rsidRPr="00CD3F3B" w14:paraId="4CF1444D" w14:textId="77777777">
        <w:trPr>
          <w:trHeight w:val="454"/>
        </w:trPr>
        <w:tc>
          <w:tcPr>
            <w:tcW w:w="2430" w:type="pct"/>
            <w:tcBorders>
              <w:bottom w:val="single" w:sz="2" w:space="0" w:color="auto"/>
            </w:tcBorders>
          </w:tcPr>
          <w:p w14:paraId="6216895E" w14:textId="77777777" w:rsidR="005C3F5F" w:rsidRPr="00CD3F3B" w:rsidRDefault="005C3F5F">
            <w:pPr>
              <w:pStyle w:val="NoSpacing"/>
              <w:rPr>
                <w:rFonts w:cs="Calibri"/>
                <w:bCs/>
                <w:lang w:val="en-US"/>
              </w:rPr>
            </w:pPr>
          </w:p>
        </w:tc>
        <w:tc>
          <w:tcPr>
            <w:tcW w:w="141" w:type="pct"/>
          </w:tcPr>
          <w:p w14:paraId="15A0B524" w14:textId="77777777" w:rsidR="005C3F5F" w:rsidRPr="00CD3F3B" w:rsidRDefault="005C3F5F">
            <w:pPr>
              <w:pStyle w:val="NoSpacing"/>
              <w:rPr>
                <w:rFonts w:cs="Calibri"/>
                <w:bCs/>
                <w:lang w:val="en-US"/>
              </w:rPr>
            </w:pPr>
          </w:p>
        </w:tc>
        <w:tc>
          <w:tcPr>
            <w:tcW w:w="2429" w:type="pct"/>
          </w:tcPr>
          <w:p w14:paraId="5151DF53" w14:textId="77777777" w:rsidR="005C3F5F" w:rsidRPr="00CD3F3B" w:rsidRDefault="005C3F5F">
            <w:pPr>
              <w:pStyle w:val="NoSpacing"/>
              <w:rPr>
                <w:rFonts w:cs="Calibri"/>
                <w:bCs/>
                <w:lang w:val="en-US"/>
              </w:rPr>
            </w:pPr>
          </w:p>
        </w:tc>
      </w:tr>
      <w:tr w:rsidR="005C3F5F" w:rsidRPr="00CD3F3B" w14:paraId="752CC542" w14:textId="77777777">
        <w:tc>
          <w:tcPr>
            <w:tcW w:w="2430" w:type="pct"/>
            <w:tcBorders>
              <w:top w:val="single" w:sz="2" w:space="0" w:color="auto"/>
            </w:tcBorders>
          </w:tcPr>
          <w:p w14:paraId="5ED60CF2" w14:textId="77777777" w:rsidR="005C3F5F" w:rsidRPr="00CD3F3B" w:rsidRDefault="005C3F5F">
            <w:pPr>
              <w:pStyle w:val="NoSpacing"/>
              <w:rPr>
                <w:rStyle w:val="Strong"/>
                <w:rFonts w:cs="Calibri"/>
                <w:bCs/>
                <w:lang w:val="en-US"/>
              </w:rPr>
            </w:pPr>
            <w:r w:rsidRPr="00CD3F3B">
              <w:rPr>
                <w:rStyle w:val="Strong"/>
                <w:rFonts w:cs="Calibri"/>
                <w:bCs/>
                <w:lang w:val="en-US"/>
              </w:rPr>
              <w:t xml:space="preserve">Name                                                                                         ID-No. </w:t>
            </w:r>
          </w:p>
        </w:tc>
        <w:tc>
          <w:tcPr>
            <w:tcW w:w="141" w:type="pct"/>
          </w:tcPr>
          <w:p w14:paraId="54BB8AFC" w14:textId="77777777" w:rsidR="005C3F5F" w:rsidRPr="00CD3F3B" w:rsidRDefault="005C3F5F">
            <w:pPr>
              <w:pStyle w:val="NoSpacing"/>
              <w:rPr>
                <w:rStyle w:val="Strong"/>
                <w:rFonts w:cs="Calibri"/>
                <w:bCs/>
                <w:lang w:val="en-US"/>
              </w:rPr>
            </w:pPr>
          </w:p>
        </w:tc>
        <w:tc>
          <w:tcPr>
            <w:tcW w:w="2429" w:type="pct"/>
          </w:tcPr>
          <w:p w14:paraId="39CFD50A" w14:textId="77777777" w:rsidR="005C3F5F" w:rsidRPr="00CD3F3B" w:rsidRDefault="005C3F5F">
            <w:pPr>
              <w:pStyle w:val="NoSpacing"/>
              <w:rPr>
                <w:rStyle w:val="Strong"/>
                <w:rFonts w:cs="Calibri"/>
                <w:bCs/>
                <w:lang w:val="en-US"/>
              </w:rPr>
            </w:pPr>
          </w:p>
        </w:tc>
      </w:tr>
    </w:tbl>
    <w:p w14:paraId="51987301" w14:textId="77777777" w:rsidR="005C3F5F" w:rsidRPr="00CD3F3B" w:rsidRDefault="005C3F5F">
      <w:pPr>
        <w:autoSpaceDE w:val="0"/>
        <w:autoSpaceDN w:val="0"/>
        <w:adjustRightInd w:val="0"/>
        <w:spacing w:after="80"/>
        <w:jc w:val="both"/>
        <w:rPr>
          <w:rStyle w:val="SubtleEmphasis"/>
          <w:rFonts w:cs="Calibri"/>
          <w:bCs/>
          <w:lang w:val="en-US"/>
        </w:rPr>
      </w:pPr>
    </w:p>
    <w:sectPr w:rsidR="005C3F5F" w:rsidRPr="00CD3F3B">
      <w:footerReference w:type="default" r:id="rId16"/>
      <w:pgSz w:w="11906" w:h="16838"/>
      <w:pgMar w:top="851" w:right="1021" w:bottom="737"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EA519" w14:textId="77777777" w:rsidR="00CD3F3B" w:rsidRPr="005C3F5F" w:rsidRDefault="00CD3F3B">
      <w:r w:rsidRPr="005C3F5F">
        <w:separator/>
      </w:r>
    </w:p>
  </w:endnote>
  <w:endnote w:type="continuationSeparator" w:id="0">
    <w:p w14:paraId="3931168D" w14:textId="77777777" w:rsidR="00CD3F3B" w:rsidRPr="005C3F5F" w:rsidRDefault="00CD3F3B">
      <w:r w:rsidRPr="005C3F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Pr>
    <w:tblGrid>
      <w:gridCol w:w="3434"/>
      <w:gridCol w:w="2914"/>
      <w:gridCol w:w="3516"/>
    </w:tblGrid>
    <w:tr w:rsidR="005C3F5F" w:rsidRPr="00D50A1C" w14:paraId="29D61784" w14:textId="77777777">
      <w:trPr>
        <w:trHeight w:val="794"/>
      </w:trPr>
      <w:tc>
        <w:tcPr>
          <w:tcW w:w="1741" w:type="pct"/>
          <w:vAlign w:val="bottom"/>
        </w:tcPr>
        <w:p w14:paraId="0CB197AF" w14:textId="5B53A377" w:rsidR="005C3F5F" w:rsidRPr="00D50A1C" w:rsidRDefault="005C3F5F">
          <w:pPr>
            <w:rPr>
              <w:rStyle w:val="Emphasis"/>
              <w:iCs/>
            </w:rPr>
          </w:pPr>
          <w:bookmarkStart w:id="16" w:name="T_NR"/>
          <w:r w:rsidRPr="00D50A1C">
            <w:rPr>
              <w:rStyle w:val="Emphasis"/>
              <w:iCs/>
              <w:noProof/>
            </w:rPr>
            <w:t>Ebl.</w:t>
          </w:r>
          <w:r w:rsidRPr="00D50A1C">
            <w:rPr>
              <w:rStyle w:val="Emphasis"/>
              <w:iCs/>
            </w:rPr>
            <w:t xml:space="preserve"> </w:t>
          </w:r>
          <w:r w:rsidRPr="00D50A1C">
            <w:rPr>
              <w:rStyle w:val="Emphasis"/>
              <w:iCs/>
              <w:noProof/>
            </w:rPr>
            <w:t xml:space="preserve">18.4.1.4.3  /  </w:t>
          </w:r>
          <w:r w:rsidR="00791FEB">
            <w:rPr>
              <w:rStyle w:val="Emphasis"/>
              <w:iCs/>
              <w:noProof/>
            </w:rPr>
            <w:t>1</w:t>
          </w:r>
          <w:r w:rsidR="00B30560">
            <w:rPr>
              <w:rStyle w:val="Emphasis"/>
              <w:iCs/>
              <w:noProof/>
            </w:rPr>
            <w:t>2</w:t>
          </w:r>
          <w:r w:rsidRPr="00D50A1C">
            <w:rPr>
              <w:rStyle w:val="Emphasis"/>
              <w:iCs/>
              <w:noProof/>
            </w:rPr>
            <w:t>.2</w:t>
          </w:r>
          <w:r w:rsidR="003B7BD1">
            <w:rPr>
              <w:rStyle w:val="Emphasis"/>
              <w:iCs/>
              <w:noProof/>
            </w:rPr>
            <w:t>3</w:t>
          </w:r>
          <w:r w:rsidRPr="00D50A1C">
            <w:rPr>
              <w:rStyle w:val="Emphasis"/>
              <w:iCs/>
              <w:noProof/>
            </w:rPr>
            <w:t xml:space="preserve">  /  7ár+</w:t>
          </w:r>
          <w:bookmarkEnd w:id="16"/>
        </w:p>
      </w:tc>
      <w:tc>
        <w:tcPr>
          <w:tcW w:w="1477" w:type="pct"/>
          <w:vAlign w:val="bottom"/>
        </w:tcPr>
        <w:p w14:paraId="1414C2F5" w14:textId="77777777" w:rsidR="005C3F5F" w:rsidRPr="00D50A1C" w:rsidRDefault="005C3F5F">
          <w:pPr>
            <w:jc w:val="center"/>
            <w:rPr>
              <w:rStyle w:val="Emphasis"/>
              <w:iCs/>
            </w:rPr>
          </w:pPr>
          <w:r w:rsidRPr="00D50A1C">
            <w:rPr>
              <w:rStyle w:val="Emphasis"/>
              <w:iCs/>
              <w:noProof/>
            </w:rPr>
            <w:t xml:space="preserve">Síða </w:t>
          </w:r>
          <w:r w:rsidRPr="00D50A1C">
            <w:rPr>
              <w:rStyle w:val="Emphasis"/>
              <w:iCs/>
              <w:noProof/>
            </w:rPr>
            <w:fldChar w:fldCharType="begin"/>
          </w:r>
          <w:r w:rsidRPr="00D50A1C">
            <w:rPr>
              <w:rStyle w:val="Emphasis"/>
              <w:iCs/>
              <w:noProof/>
            </w:rPr>
            <w:instrText>PAGE</w:instrText>
          </w:r>
          <w:r w:rsidRPr="00D50A1C">
            <w:rPr>
              <w:rStyle w:val="Emphasis"/>
              <w:iCs/>
              <w:noProof/>
            </w:rPr>
            <w:fldChar w:fldCharType="separate"/>
          </w:r>
          <w:r w:rsidRPr="00D50A1C">
            <w:rPr>
              <w:rStyle w:val="Emphasis"/>
              <w:iCs/>
              <w:noProof/>
            </w:rPr>
            <w:t>1</w:t>
          </w:r>
          <w:r w:rsidRPr="00D50A1C">
            <w:rPr>
              <w:rStyle w:val="Emphasis"/>
              <w:iCs/>
              <w:noProof/>
            </w:rPr>
            <w:fldChar w:fldCharType="end"/>
          </w:r>
          <w:r w:rsidRPr="00D50A1C">
            <w:rPr>
              <w:rStyle w:val="Emphasis"/>
              <w:iCs/>
              <w:noProof/>
            </w:rPr>
            <w:t xml:space="preserve"> af </w:t>
          </w:r>
          <w:r w:rsidRPr="00D50A1C">
            <w:rPr>
              <w:rStyle w:val="Emphasis"/>
              <w:iCs/>
              <w:noProof/>
            </w:rPr>
            <w:fldChar w:fldCharType="begin"/>
          </w:r>
          <w:r w:rsidRPr="00D50A1C">
            <w:rPr>
              <w:rStyle w:val="Emphasis"/>
              <w:iCs/>
              <w:noProof/>
            </w:rPr>
            <w:instrText>NUMPAGES</w:instrText>
          </w:r>
          <w:r w:rsidRPr="00D50A1C">
            <w:rPr>
              <w:rStyle w:val="Emphasis"/>
              <w:iCs/>
              <w:noProof/>
            </w:rPr>
            <w:fldChar w:fldCharType="separate"/>
          </w:r>
          <w:r w:rsidRPr="00D50A1C">
            <w:rPr>
              <w:rStyle w:val="Emphasis"/>
              <w:iCs/>
              <w:noProof/>
            </w:rPr>
            <w:t>1</w:t>
          </w:r>
          <w:r w:rsidRPr="00D50A1C">
            <w:rPr>
              <w:rStyle w:val="Emphasis"/>
              <w:iCs/>
              <w:noProof/>
            </w:rPr>
            <w:fldChar w:fldCharType="end"/>
          </w:r>
        </w:p>
      </w:tc>
      <w:tc>
        <w:tcPr>
          <w:tcW w:w="1782" w:type="pct"/>
          <w:vAlign w:val="bottom"/>
        </w:tcPr>
        <w:p w14:paraId="7B87F52F" w14:textId="77777777" w:rsidR="005C3F5F" w:rsidRPr="00D50A1C" w:rsidRDefault="005C3F5F">
          <w:pPr>
            <w:jc w:val="right"/>
            <w:rPr>
              <w:rStyle w:val="Emphasis"/>
              <w:iCs/>
            </w:rPr>
          </w:pPr>
          <w:bookmarkStart w:id="17" w:name="STRIKAM"/>
          <w:bookmarkEnd w:id="17"/>
        </w:p>
      </w:tc>
    </w:tr>
  </w:tbl>
  <w:p w14:paraId="1550FE25" w14:textId="77777777" w:rsidR="005C3F5F" w:rsidRPr="005C3F5F" w:rsidRDefault="005C3F5F">
    <w:pPr>
      <w:pStyle w:val="Footer"/>
      <w:rPr>
        <w:rStyle w:val="Strong"/>
        <w:b/>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E5B9" w14:textId="77777777" w:rsidR="00CD3F3B" w:rsidRPr="005C3F5F" w:rsidRDefault="00CD3F3B">
      <w:r w:rsidRPr="005C3F5F">
        <w:separator/>
      </w:r>
    </w:p>
  </w:footnote>
  <w:footnote w:type="continuationSeparator" w:id="0">
    <w:p w14:paraId="55707DF2" w14:textId="77777777" w:rsidR="00CD3F3B" w:rsidRPr="005C3F5F" w:rsidRDefault="00CD3F3B">
      <w:r w:rsidRPr="005C3F5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85C03"/>
    <w:multiLevelType w:val="hybridMultilevel"/>
    <w:tmpl w:val="FCA8823A"/>
    <w:lvl w:ilvl="0" w:tplc="5D90B710">
      <w:start w:val="1"/>
      <w:numFmt w:val="lowerLetter"/>
      <w:lvlText w:val="%1."/>
      <w:lvlJc w:val="left"/>
      <w:pPr>
        <w:ind w:left="720" w:hanging="360"/>
      </w:pPr>
      <w:rPr>
        <w:rFonts w:ascii="Calibri" w:hAnsi="Calibri" w:cs="Calibri" w:hint="default"/>
        <w:sz w:val="14"/>
        <w:szCs w:val="14"/>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1" w15:restartNumberingAfterBreak="0">
    <w:nsid w:val="739975A5"/>
    <w:multiLevelType w:val="hybridMultilevel"/>
    <w:tmpl w:val="2FB484CC"/>
    <w:lvl w:ilvl="0" w:tplc="040F000F">
      <w:start w:val="1"/>
      <w:numFmt w:val="decimal"/>
      <w:lvlText w:val="%1."/>
      <w:lvlJc w:val="left"/>
      <w:pPr>
        <w:ind w:left="780" w:hanging="360"/>
      </w:pPr>
      <w:rPr>
        <w:rFonts w:cs="Times New Roman"/>
      </w:rPr>
    </w:lvl>
    <w:lvl w:ilvl="1" w:tplc="040F0019" w:tentative="1">
      <w:start w:val="1"/>
      <w:numFmt w:val="lowerLetter"/>
      <w:lvlText w:val="%2."/>
      <w:lvlJc w:val="left"/>
      <w:pPr>
        <w:ind w:left="1500" w:hanging="360"/>
      </w:pPr>
      <w:rPr>
        <w:rFonts w:cs="Times New Roman"/>
      </w:rPr>
    </w:lvl>
    <w:lvl w:ilvl="2" w:tplc="040F001B" w:tentative="1">
      <w:start w:val="1"/>
      <w:numFmt w:val="lowerRoman"/>
      <w:lvlText w:val="%3."/>
      <w:lvlJc w:val="right"/>
      <w:pPr>
        <w:ind w:left="2220" w:hanging="180"/>
      </w:pPr>
      <w:rPr>
        <w:rFonts w:cs="Times New Roman"/>
      </w:rPr>
    </w:lvl>
    <w:lvl w:ilvl="3" w:tplc="040F000F" w:tentative="1">
      <w:start w:val="1"/>
      <w:numFmt w:val="decimal"/>
      <w:lvlText w:val="%4."/>
      <w:lvlJc w:val="left"/>
      <w:pPr>
        <w:ind w:left="2940" w:hanging="360"/>
      </w:pPr>
      <w:rPr>
        <w:rFonts w:cs="Times New Roman"/>
      </w:rPr>
    </w:lvl>
    <w:lvl w:ilvl="4" w:tplc="040F0019" w:tentative="1">
      <w:start w:val="1"/>
      <w:numFmt w:val="lowerLetter"/>
      <w:lvlText w:val="%5."/>
      <w:lvlJc w:val="left"/>
      <w:pPr>
        <w:ind w:left="3660" w:hanging="360"/>
      </w:pPr>
      <w:rPr>
        <w:rFonts w:cs="Times New Roman"/>
      </w:rPr>
    </w:lvl>
    <w:lvl w:ilvl="5" w:tplc="040F001B" w:tentative="1">
      <w:start w:val="1"/>
      <w:numFmt w:val="lowerRoman"/>
      <w:lvlText w:val="%6."/>
      <w:lvlJc w:val="right"/>
      <w:pPr>
        <w:ind w:left="4380" w:hanging="180"/>
      </w:pPr>
      <w:rPr>
        <w:rFonts w:cs="Times New Roman"/>
      </w:rPr>
    </w:lvl>
    <w:lvl w:ilvl="6" w:tplc="040F000F" w:tentative="1">
      <w:start w:val="1"/>
      <w:numFmt w:val="decimal"/>
      <w:lvlText w:val="%7."/>
      <w:lvlJc w:val="left"/>
      <w:pPr>
        <w:ind w:left="5100" w:hanging="360"/>
      </w:pPr>
      <w:rPr>
        <w:rFonts w:cs="Times New Roman"/>
      </w:rPr>
    </w:lvl>
    <w:lvl w:ilvl="7" w:tplc="040F0019" w:tentative="1">
      <w:start w:val="1"/>
      <w:numFmt w:val="lowerLetter"/>
      <w:lvlText w:val="%8."/>
      <w:lvlJc w:val="left"/>
      <w:pPr>
        <w:ind w:left="5820" w:hanging="360"/>
      </w:pPr>
      <w:rPr>
        <w:rFonts w:cs="Times New Roman"/>
      </w:rPr>
    </w:lvl>
    <w:lvl w:ilvl="8" w:tplc="040F001B" w:tentative="1">
      <w:start w:val="1"/>
      <w:numFmt w:val="lowerRoman"/>
      <w:lvlText w:val="%9."/>
      <w:lvlJc w:val="right"/>
      <w:pPr>
        <w:ind w:left="6540" w:hanging="180"/>
      </w:pPr>
      <w:rPr>
        <w:rFonts w:cs="Times New Roman"/>
      </w:rPr>
    </w:lvl>
  </w:abstractNum>
  <w:num w:numId="1" w16cid:durableId="1136600692">
    <w:abstractNumId w:val="1"/>
  </w:num>
  <w:num w:numId="2" w16cid:durableId="1512798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JgReS0jECfZLE05E3fB+YKzs88U1ezDyTFzbNFmbiH7boIwXrlkrw4BxEeDhUR2P+KnKHLyGljplpfOksM2tg==" w:salt="/JcShLnBZj5NKG5qnhZS+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41"/>
    <w:rsid w:val="00002FE6"/>
    <w:rsid w:val="000062EC"/>
    <w:rsid w:val="0002134F"/>
    <w:rsid w:val="00034B67"/>
    <w:rsid w:val="00040E98"/>
    <w:rsid w:val="00051A49"/>
    <w:rsid w:val="000647BA"/>
    <w:rsid w:val="0009112A"/>
    <w:rsid w:val="000A1A78"/>
    <w:rsid w:val="000B65D9"/>
    <w:rsid w:val="000C620F"/>
    <w:rsid w:val="000D005D"/>
    <w:rsid w:val="000E3865"/>
    <w:rsid w:val="000F67C6"/>
    <w:rsid w:val="001035A8"/>
    <w:rsid w:val="001214E8"/>
    <w:rsid w:val="00137299"/>
    <w:rsid w:val="00156AED"/>
    <w:rsid w:val="00166E9F"/>
    <w:rsid w:val="0016793B"/>
    <w:rsid w:val="00172A92"/>
    <w:rsid w:val="00192DC7"/>
    <w:rsid w:val="001A3A18"/>
    <w:rsid w:val="001D0EA8"/>
    <w:rsid w:val="001D4D87"/>
    <w:rsid w:val="001D7962"/>
    <w:rsid w:val="001F09BF"/>
    <w:rsid w:val="002015C2"/>
    <w:rsid w:val="00203A91"/>
    <w:rsid w:val="002120D3"/>
    <w:rsid w:val="0022576F"/>
    <w:rsid w:val="00247F0D"/>
    <w:rsid w:val="0025611D"/>
    <w:rsid w:val="00261301"/>
    <w:rsid w:val="0028019C"/>
    <w:rsid w:val="002A6CAC"/>
    <w:rsid w:val="002B158F"/>
    <w:rsid w:val="002B6BE8"/>
    <w:rsid w:val="002C7A34"/>
    <w:rsid w:val="002E2939"/>
    <w:rsid w:val="002E6A5B"/>
    <w:rsid w:val="002F32EF"/>
    <w:rsid w:val="002F5EC7"/>
    <w:rsid w:val="002F6FEB"/>
    <w:rsid w:val="00314934"/>
    <w:rsid w:val="003164E8"/>
    <w:rsid w:val="00355137"/>
    <w:rsid w:val="003674E2"/>
    <w:rsid w:val="00367684"/>
    <w:rsid w:val="003953A9"/>
    <w:rsid w:val="003B59C8"/>
    <w:rsid w:val="003B7BD1"/>
    <w:rsid w:val="003C5552"/>
    <w:rsid w:val="003D2740"/>
    <w:rsid w:val="003E45A9"/>
    <w:rsid w:val="00404B75"/>
    <w:rsid w:val="00417609"/>
    <w:rsid w:val="00426184"/>
    <w:rsid w:val="0044520F"/>
    <w:rsid w:val="00453971"/>
    <w:rsid w:val="004601BA"/>
    <w:rsid w:val="004636F6"/>
    <w:rsid w:val="004637A2"/>
    <w:rsid w:val="004B186F"/>
    <w:rsid w:val="004C20DE"/>
    <w:rsid w:val="004C62C8"/>
    <w:rsid w:val="00500C47"/>
    <w:rsid w:val="005010CC"/>
    <w:rsid w:val="005137CE"/>
    <w:rsid w:val="00525B6B"/>
    <w:rsid w:val="00531BA8"/>
    <w:rsid w:val="00550159"/>
    <w:rsid w:val="005513C3"/>
    <w:rsid w:val="00551AE8"/>
    <w:rsid w:val="00564EEE"/>
    <w:rsid w:val="005844A4"/>
    <w:rsid w:val="005A335A"/>
    <w:rsid w:val="005C3F5F"/>
    <w:rsid w:val="005E400A"/>
    <w:rsid w:val="005F25BD"/>
    <w:rsid w:val="00615DA4"/>
    <w:rsid w:val="00626F7D"/>
    <w:rsid w:val="00661359"/>
    <w:rsid w:val="006663A6"/>
    <w:rsid w:val="006A0E18"/>
    <w:rsid w:val="006B2BC0"/>
    <w:rsid w:val="006C3641"/>
    <w:rsid w:val="006D21AD"/>
    <w:rsid w:val="006E2D7B"/>
    <w:rsid w:val="006F77A6"/>
    <w:rsid w:val="00706759"/>
    <w:rsid w:val="00710C06"/>
    <w:rsid w:val="0074335E"/>
    <w:rsid w:val="00746A62"/>
    <w:rsid w:val="007506B8"/>
    <w:rsid w:val="00753516"/>
    <w:rsid w:val="00767075"/>
    <w:rsid w:val="007732F7"/>
    <w:rsid w:val="007876AE"/>
    <w:rsid w:val="00791FEB"/>
    <w:rsid w:val="00794531"/>
    <w:rsid w:val="007B220F"/>
    <w:rsid w:val="00802028"/>
    <w:rsid w:val="008134AD"/>
    <w:rsid w:val="00817FD2"/>
    <w:rsid w:val="00834478"/>
    <w:rsid w:val="00860FB2"/>
    <w:rsid w:val="008700B6"/>
    <w:rsid w:val="00882B4F"/>
    <w:rsid w:val="008B18CD"/>
    <w:rsid w:val="008E03FC"/>
    <w:rsid w:val="008E1D39"/>
    <w:rsid w:val="009070A7"/>
    <w:rsid w:val="009143DA"/>
    <w:rsid w:val="00940891"/>
    <w:rsid w:val="00952A36"/>
    <w:rsid w:val="00962E9D"/>
    <w:rsid w:val="009A2C7C"/>
    <w:rsid w:val="009B1F5B"/>
    <w:rsid w:val="009B22C8"/>
    <w:rsid w:val="009D5874"/>
    <w:rsid w:val="009D6462"/>
    <w:rsid w:val="009F4B0A"/>
    <w:rsid w:val="009F7BA4"/>
    <w:rsid w:val="00A06791"/>
    <w:rsid w:val="00A17F82"/>
    <w:rsid w:val="00A2752C"/>
    <w:rsid w:val="00A30A6C"/>
    <w:rsid w:val="00A3257C"/>
    <w:rsid w:val="00A513E7"/>
    <w:rsid w:val="00AA3699"/>
    <w:rsid w:val="00AE1089"/>
    <w:rsid w:val="00AE1EB4"/>
    <w:rsid w:val="00AE6D2D"/>
    <w:rsid w:val="00AF7108"/>
    <w:rsid w:val="00B12FEF"/>
    <w:rsid w:val="00B2509E"/>
    <w:rsid w:val="00B30560"/>
    <w:rsid w:val="00B351E1"/>
    <w:rsid w:val="00B57391"/>
    <w:rsid w:val="00B5783F"/>
    <w:rsid w:val="00B75A85"/>
    <w:rsid w:val="00B86E31"/>
    <w:rsid w:val="00B933C4"/>
    <w:rsid w:val="00B9641B"/>
    <w:rsid w:val="00BE7152"/>
    <w:rsid w:val="00BF1AD7"/>
    <w:rsid w:val="00C04BA7"/>
    <w:rsid w:val="00C06448"/>
    <w:rsid w:val="00C32EF5"/>
    <w:rsid w:val="00C378A7"/>
    <w:rsid w:val="00C4079D"/>
    <w:rsid w:val="00C475D5"/>
    <w:rsid w:val="00C92F7A"/>
    <w:rsid w:val="00CC4D1A"/>
    <w:rsid w:val="00CD3F3B"/>
    <w:rsid w:val="00D15284"/>
    <w:rsid w:val="00D24BA7"/>
    <w:rsid w:val="00D2755A"/>
    <w:rsid w:val="00D50A1C"/>
    <w:rsid w:val="00D65369"/>
    <w:rsid w:val="00D75289"/>
    <w:rsid w:val="00D83F0D"/>
    <w:rsid w:val="00DA2C46"/>
    <w:rsid w:val="00DA47E9"/>
    <w:rsid w:val="00DB11EE"/>
    <w:rsid w:val="00DD12E5"/>
    <w:rsid w:val="00DF2C02"/>
    <w:rsid w:val="00E20B32"/>
    <w:rsid w:val="00E403D4"/>
    <w:rsid w:val="00E50AD6"/>
    <w:rsid w:val="00E5751E"/>
    <w:rsid w:val="00E722D4"/>
    <w:rsid w:val="00E942CD"/>
    <w:rsid w:val="00EA2A9F"/>
    <w:rsid w:val="00EB3A2E"/>
    <w:rsid w:val="00EB7C47"/>
    <w:rsid w:val="00EE2C45"/>
    <w:rsid w:val="00EE5526"/>
    <w:rsid w:val="00EF0AB9"/>
    <w:rsid w:val="00EF2408"/>
    <w:rsid w:val="00F01640"/>
    <w:rsid w:val="00F60A38"/>
    <w:rsid w:val="00F612CF"/>
    <w:rsid w:val="00F701D5"/>
    <w:rsid w:val="00F70221"/>
    <w:rsid w:val="00F87DC9"/>
    <w:rsid w:val="00F96C6E"/>
    <w:rsid w:val="00F96CBC"/>
    <w:rsid w:val="00FB1E54"/>
    <w:rsid w:val="00FC6195"/>
    <w:rsid w:val="00FC6A63"/>
    <w:rsid w:val="00FE0AE2"/>
    <w:rsid w:val="00FE27E5"/>
    <w:rsid w:val="00FF0CE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578213"/>
  <w14:defaultImageDpi w14:val="96"/>
  <w15:docId w15:val="{8F63C89D-2F51-4876-AF4D-07DF4B80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s-IS" w:eastAsia="is-IS" w:bidi="ar-SA"/>
      </w:rPr>
    </w:rPrDefault>
    <w:pPrDefault/>
  </w:docDefaults>
  <w:latentStyles w:defLockedState="0" w:defUIPriority="0" w:defSemiHidden="0" w:defUnhideWhenUsed="0" w:defQFormat="0" w:count="376">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napToGrid w:val="0"/>
      <w:sz w:val="24"/>
      <w:szCs w:val="24"/>
    </w:rPr>
  </w:style>
  <w:style w:type="paragraph" w:styleId="Heading1">
    <w:name w:val="heading 1"/>
    <w:basedOn w:val="Normal"/>
    <w:next w:val="Normal"/>
    <w:link w:val="FollowedHyperlink"/>
    <w:uiPriority w:val="9"/>
    <w:pPr>
      <w:keepNext/>
      <w:keepLines/>
      <w:spacing w:before="480"/>
      <w:outlineLvl w:val="0"/>
    </w:pPr>
    <w:rPr>
      <w:rFonts w:ascii="Times New Roman" w:eastAsia="Malgun Gothic" w:hAnsi="Times New Roman"/>
      <w:b/>
      <w:bCs/>
      <w:color w:val="365F91"/>
      <w:sz w:val="28"/>
      <w:szCs w:val="28"/>
    </w:rPr>
  </w:style>
  <w:style w:type="paragraph" w:styleId="Heading2">
    <w:name w:val="heading 2"/>
    <w:basedOn w:val="Normal"/>
    <w:next w:val="Normal"/>
    <w:uiPriority w:val="9"/>
    <w:semiHidden/>
    <w:qFormat/>
    <w:pPr>
      <w:keepNext/>
      <w:keepLines/>
      <w:spacing w:before="40"/>
      <w:outlineLvl w:val="1"/>
    </w:pPr>
    <w:rPr>
      <w:rFonts w:ascii="Times New Roman" w:eastAsia="Malgun Gothic" w:hAnsi="Times New Rom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locked/>
    <w:rPr>
      <w:rFonts w:ascii="Times New Roman" w:eastAsia="Malgun Gothic" w:hAnsi="Times New Roman"/>
      <w:b/>
      <w:color w:val="365F91"/>
      <w:sz w:val="28"/>
    </w:rPr>
  </w:style>
  <w:style w:type="character" w:customStyle="1" w:styleId="Heading2Char">
    <w:name w:val="Heading 2 Char"/>
    <w:uiPriority w:val="9"/>
    <w:semiHidden/>
    <w:locked/>
    <w:rPr>
      <w:rFonts w:ascii="Times New Roman" w:eastAsia="Malgun Gothic" w:hAnsi="Times New Roman"/>
      <w:color w:val="365F91"/>
      <w:sz w:val="26"/>
    </w:rPr>
  </w:style>
  <w:style w:type="paragraph" w:styleId="Title">
    <w:name w:val="Title"/>
    <w:aliases w:val="Titill"/>
    <w:basedOn w:val="Normal"/>
    <w:next w:val="Normal"/>
    <w:link w:val="TitleChar"/>
    <w:uiPriority w:val="10"/>
    <w:qFormat/>
    <w:rPr>
      <w:rFonts w:eastAsia="Malgun Gothic"/>
      <w:caps/>
      <w:color w:val="356BAE"/>
      <w:spacing w:val="20"/>
      <w:kern w:val="28"/>
      <w:sz w:val="36"/>
      <w:szCs w:val="52"/>
    </w:rPr>
  </w:style>
  <w:style w:type="character" w:customStyle="1" w:styleId="TitleChar">
    <w:name w:val="Title Char"/>
    <w:aliases w:val="Titill Char"/>
    <w:link w:val="Title"/>
    <w:uiPriority w:val="10"/>
    <w:locked/>
    <w:rPr>
      <w:rFonts w:eastAsia="Malgun Gothic"/>
      <w:caps/>
      <w:color w:val="356BAE"/>
      <w:spacing w:val="20"/>
      <w:kern w:val="28"/>
      <w:sz w:val="52"/>
    </w:rPr>
  </w:style>
  <w:style w:type="table" w:styleId="TableGrid">
    <w:name w:val="Table Grid"/>
    <w:basedOn w:val="TableNormal"/>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imes New Roman" w:hAnsi="Times New Roman"/>
      <w:sz w:val="16"/>
      <w:szCs w:val="16"/>
    </w:rPr>
  </w:style>
  <w:style w:type="character" w:customStyle="1" w:styleId="BalloonTextChar">
    <w:name w:val="Balloon Text Char"/>
    <w:link w:val="BalloonText"/>
    <w:uiPriority w:val="99"/>
    <w:locked/>
    <w:rPr>
      <w:rFonts w:ascii="Times New Roman" w:hAnsi="Times New Roman"/>
      <w:sz w:val="16"/>
    </w:rPr>
  </w:style>
  <w:style w:type="paragraph" w:styleId="Subtitle">
    <w:name w:val="Subtitle"/>
    <w:aliases w:val="undirtitill"/>
    <w:basedOn w:val="Normal"/>
    <w:next w:val="Normal"/>
    <w:uiPriority w:val="11"/>
    <w:qFormat/>
    <w:pPr>
      <w:numPr>
        <w:ilvl w:val="1"/>
      </w:numPr>
      <w:pBdr>
        <w:bottom w:val="single" w:sz="8" w:space="1" w:color="F79646"/>
      </w:pBdr>
    </w:pPr>
    <w:rPr>
      <w:rFonts w:eastAsia="Malgun Gothic"/>
      <w:iCs/>
      <w:caps/>
      <w:color w:val="356BAE"/>
      <w:spacing w:val="15"/>
      <w:sz w:val="28"/>
    </w:rPr>
  </w:style>
  <w:style w:type="character" w:customStyle="1" w:styleId="SubtitleChar">
    <w:name w:val="Subtitle Char"/>
    <w:aliases w:val="undirtitill Char"/>
    <w:uiPriority w:val="11"/>
    <w:rPr>
      <w:rFonts w:ascii="Cambria" w:eastAsia="Malgun Gothic" w:hAnsi="Cambria" w:cs="Times New Roman"/>
      <w:snapToGrid w:val="0"/>
      <w:sz w:val="24"/>
      <w:szCs w:val="24"/>
    </w:rPr>
  </w:style>
  <w:style w:type="character" w:customStyle="1" w:styleId="SubtitleChar1">
    <w:name w:val="Subtitle Char1"/>
    <w:aliases w:val="undirtitill Char1"/>
    <w:uiPriority w:val="11"/>
    <w:locked/>
    <w:rPr>
      <w:rFonts w:eastAsia="Malgun Gothic"/>
      <w:caps/>
      <w:color w:val="356BAE"/>
      <w:spacing w:val="15"/>
      <w:sz w:val="24"/>
    </w:rPr>
  </w:style>
  <w:style w:type="paragraph" w:styleId="NoSpacing">
    <w:name w:val="No Spacing"/>
    <w:uiPriority w:val="1"/>
    <w:qFormat/>
    <w:rPr>
      <w:snapToGrid w:val="0"/>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sz w:val="24"/>
    </w:rPr>
  </w:style>
  <w:style w:type="paragraph" w:styleId="Footer">
    <w:name w:val="footer"/>
    <w:basedOn w:val="Normal"/>
    <w:uiPriority w:val="99"/>
    <w:pPr>
      <w:tabs>
        <w:tab w:val="center" w:pos="4536"/>
        <w:tab w:val="right" w:pos="9072"/>
      </w:tabs>
    </w:pPr>
  </w:style>
  <w:style w:type="character" w:customStyle="1" w:styleId="CommentTextChar2">
    <w:name w:val="Comment Text Char2"/>
    <w:link w:val="CommentText"/>
    <w:uiPriority w:val="99"/>
    <w:locked/>
    <w:rPr>
      <w:sz w:val="24"/>
    </w:rPr>
  </w:style>
  <w:style w:type="character" w:styleId="SubtleEmphasis">
    <w:name w:val="Subtle Emphasis"/>
    <w:aliases w:val="Eyðublöð"/>
    <w:uiPriority w:val="19"/>
    <w:qFormat/>
    <w:rPr>
      <w:rFonts w:ascii="Calibri" w:hAnsi="Calibri"/>
      <w:color w:val="auto"/>
      <w:sz w:val="20"/>
    </w:rPr>
  </w:style>
  <w:style w:type="character" w:styleId="Emphasis">
    <w:name w:val="Emphasis"/>
    <w:aliases w:val="Footer númer"/>
    <w:uiPriority w:val="20"/>
    <w:qFormat/>
    <w:rPr>
      <w:rFonts w:ascii="Calibri" w:hAnsi="Calibri"/>
      <w:sz w:val="16"/>
    </w:rPr>
  </w:style>
  <w:style w:type="character" w:styleId="Strong">
    <w:name w:val="Strong"/>
    <w:aliases w:val="Undirletur í töflu"/>
    <w:uiPriority w:val="22"/>
    <w:qFormat/>
    <w:rPr>
      <w:rFonts w:ascii="Calibri" w:hAnsi="Calibri"/>
      <w:sz w:val="14"/>
    </w:rPr>
  </w:style>
  <w:style w:type="paragraph" w:styleId="BodyText">
    <w:name w:val="Body Text"/>
    <w:basedOn w:val="Normal"/>
    <w:link w:val="BodyTextChar"/>
    <w:uiPriority w:val="99"/>
    <w:pPr>
      <w:jc w:val="both"/>
    </w:pPr>
    <w:rPr>
      <w:rFonts w:ascii="Times New Roman" w:hAnsi="Times New Roman"/>
      <w:szCs w:val="20"/>
    </w:rPr>
  </w:style>
  <w:style w:type="character" w:customStyle="1" w:styleId="BodyTextChar">
    <w:name w:val="Body Text Char"/>
    <w:link w:val="BodyText"/>
    <w:uiPriority w:val="99"/>
    <w:locked/>
    <w:rPr>
      <w:rFonts w:ascii="Times New Roman" w:hAnsi="Times New Roman"/>
      <w:sz w:val="20"/>
      <w:lang w:val="x-none"/>
    </w:rPr>
  </w:style>
  <w:style w:type="character" w:styleId="PageNumber">
    <w:name w:val="page number"/>
    <w:uiPriority w:val="99"/>
    <w:rPr>
      <w:rFonts w:cs="Times New Roman"/>
    </w:rPr>
  </w:style>
  <w:style w:type="paragraph" w:styleId="ListParagraph">
    <w:name w:val="List Paragraph"/>
    <w:basedOn w:val="Normal"/>
    <w:uiPriority w:val="34"/>
    <w:qFormat/>
    <w:pPr>
      <w:ind w:left="720"/>
      <w:contextualSpacing/>
    </w:pPr>
    <w:rPr>
      <w:rFonts w:ascii="Times New Roman" w:hAnsi="Times New Roman"/>
      <w:szCs w:val="20"/>
    </w:rPr>
  </w:style>
  <w:style w:type="character" w:styleId="CommentReference">
    <w:name w:val="annotation reference"/>
    <w:uiPriority w:val="99"/>
    <w:rPr>
      <w:sz w:val="16"/>
    </w:rPr>
  </w:style>
  <w:style w:type="paragraph" w:styleId="CommentText">
    <w:name w:val="annotation text"/>
    <w:basedOn w:val="Normal"/>
    <w:link w:val="CommentTextChar2"/>
    <w:uiPriority w:val="99"/>
    <w:rPr>
      <w:sz w:val="20"/>
      <w:szCs w:val="20"/>
    </w:rPr>
  </w:style>
  <w:style w:type="character" w:customStyle="1" w:styleId="CommentTextChar">
    <w:name w:val="Comment Text Char"/>
    <w:uiPriority w:val="99"/>
    <w:semiHidden/>
    <w:rPr>
      <w:snapToGrid w:val="0"/>
    </w:rPr>
  </w:style>
  <w:style w:type="character" w:customStyle="1" w:styleId="CommentTextChar1">
    <w:name w:val="Comment Text Char1"/>
    <w:locked/>
    <w:rPr>
      <w:sz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b/>
      <w:sz w:val="20"/>
    </w:rPr>
  </w:style>
  <w:style w:type="character" w:styleId="Hyperlink">
    <w:name w:val="Hyperlink"/>
    <w:uiPriority w:val="99"/>
    <w:rPr>
      <w:color w:val="0000FF"/>
      <w:u w:val="single"/>
    </w:rPr>
  </w:style>
  <w:style w:type="character" w:customStyle="1" w:styleId="UnresolvedMention1">
    <w:name w:val="Unresolved Mention1"/>
    <w:uiPriority w:val="99"/>
    <w:semiHidden/>
    <w:rPr>
      <w:color w:val="605E5C"/>
      <w:shd w:val="clear" w:color="auto" w:fill="E1DFDD"/>
    </w:rPr>
  </w:style>
  <w:style w:type="paragraph" w:styleId="Revision">
    <w:name w:val="Revision"/>
    <w:hidden/>
    <w:uiPriority w:val="99"/>
    <w:semiHidden/>
    <w:rPr>
      <w:snapToGrid w:val="0"/>
      <w:sz w:val="24"/>
      <w:szCs w:val="24"/>
    </w:rPr>
  </w:style>
  <w:style w:type="character" w:styleId="FollowedHyperlink">
    <w:name w:val="FollowedHyperlink"/>
    <w:aliases w:val="Heading 1 Char1"/>
    <w:link w:val="Heading1"/>
    <w:uiPriority w:val="99"/>
    <w:semiHidden/>
    <w:rPr>
      <w:color w:val="800080"/>
      <w:u w:val="single"/>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UnresolvedMention">
    <w:name w:val="Unresolved Mention"/>
    <w:basedOn w:val="DefaultParagraphFont"/>
    <w:uiPriority w:val="99"/>
    <w:semiHidden/>
    <w:unhideWhenUsed/>
    <w:rsid w:val="00355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7935">
      <w:bodyDiv w:val="1"/>
      <w:marLeft w:val="0"/>
      <w:marRight w:val="0"/>
      <w:marTop w:val="0"/>
      <w:marBottom w:val="0"/>
      <w:divBdr>
        <w:top w:val="none" w:sz="0" w:space="0" w:color="auto"/>
        <w:left w:val="none" w:sz="0" w:space="0" w:color="auto"/>
        <w:bottom w:val="none" w:sz="0" w:space="0" w:color="auto"/>
        <w:right w:val="none" w:sz="0" w:space="0" w:color="auto"/>
      </w:divBdr>
    </w:div>
    <w:div w:id="940994388">
      <w:marLeft w:val="0"/>
      <w:marRight w:val="0"/>
      <w:marTop w:val="0"/>
      <w:marBottom w:val="0"/>
      <w:divBdr>
        <w:top w:val="none" w:sz="0" w:space="0" w:color="auto"/>
        <w:left w:val="none" w:sz="0" w:space="0" w:color="auto"/>
        <w:bottom w:val="none" w:sz="0" w:space="0" w:color="auto"/>
        <w:right w:val="none" w:sz="0" w:space="0" w:color="auto"/>
      </w:divBdr>
    </w:div>
    <w:div w:id="940994389">
      <w:marLeft w:val="0"/>
      <w:marRight w:val="0"/>
      <w:marTop w:val="0"/>
      <w:marBottom w:val="0"/>
      <w:divBdr>
        <w:top w:val="none" w:sz="0" w:space="0" w:color="auto"/>
        <w:left w:val="none" w:sz="0" w:space="0" w:color="auto"/>
        <w:bottom w:val="none" w:sz="0" w:space="0" w:color="auto"/>
        <w:right w:val="none" w:sz="0" w:space="0" w:color="auto"/>
      </w:divBdr>
    </w:div>
    <w:div w:id="9409943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arionbanki.is/fjarfestavernd" TargetMode="External"/><Relationship Id="rId10" Type="http://schemas.openxmlformats.org/officeDocument/2006/relationships/webSettings" Target="webSettings.xml"/><Relationship Id="rId14" Type="http://schemas.openxmlformats.org/officeDocument/2006/relationships/hyperlink" Target="https://www.arionbanki.is/english/about-us/more/rates/"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94340f58d9c463797252a58a74fbc73 xmlns="3a80df53-966d-4465-b537-67eff46a37b0">
      <Terms xmlns="http://schemas.microsoft.com/office/infopath/2007/PartnerControls">
        <TermInfo xmlns="http://schemas.microsoft.com/office/infopath/2007/PartnerControls">
          <TermName xmlns="http://schemas.microsoft.com/office/infopath/2007/PartnerControls">Verðbréf - Vörslusamningur við viðskiptavin (MiFID) - Einstaklingur</TermName>
          <TermId xmlns="http://schemas.microsoft.com/office/infopath/2007/PartnerControls">54a6da17-5dc4-4f40-955d-f886ccb059ec</TermId>
        </TermInfo>
      </Terms>
    </i94340f58d9c463797252a58a74fbc73>
    <glbKennitala1 xmlns="3a80df53-966d-4465-b537-67eff46a37b0" xsi:nil="true"/>
    <glbKerfisstada xmlns="3a80df53-966d-4465-b537-67eff46a37b0" xsi:nil="true"/>
    <glbLeynd xmlns="3a80df53-966d-4465-b537-67eff46a37b0">Lág</glbLeynd>
    <j4fcab34387d4895869c4f1a02cf3739 xmlns="3a80df53-966d-4465-b537-67eff46a37b0">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3a80df53-966d-4465-b537-67eff46a37b0" xsi:nil="true"/>
    <glbSPPIProf xmlns="3a80df53-966d-4465-b537-67eff46a37b0">
      <Url xsi:nil="true"/>
      <Description xsi:nil="true"/>
    </glbSPPIProf>
    <glbLandnumer xmlns="3a80df53-966d-4465-b537-67eff46a37b0" xsi:nil="true"/>
    <TaxCatchAll xmlns="3a80df53-966d-4465-b537-67eff46a37b0">
      <Value>5</Value>
      <Value>11</Value>
      <Value>584</Value>
      <Value>226</Value>
    </TaxCatchAll>
    <glbSPPINidurstada xmlns="3a80df53-966d-4465-b537-67eff46a37b0">[Velja]</glbSPPINidurstada>
    <glbSPPIskilmalar xmlns="3a80df53-966d-4465-b537-67eff46a37b0">
      <Url xsi:nil="true"/>
      <Description xsi:nil="true"/>
    </glbSPPIskilmalar>
    <glbEydingarDagsetning xmlns="3a80df53-966d-4465-b537-67eff46a37b0" xsi:nil="true"/>
    <glbSkilyrt xmlns="3a80df53-966d-4465-b537-67eff46a37b0">
      <Value>Fyrir einstaklinga</Value>
      <Value>Fyrir eldriborgara</Value>
    </glbSkilyrt>
    <glbKennitala2 xmlns="3a80df53-966d-4465-b537-67eff46a37b0" xsi:nil="true"/>
    <glbLokadagsetning xmlns="3a80df53-966d-4465-b537-67eff46a37b0" xsi:nil="true"/>
    <TaxKeywordTaxHTField xmlns="3a80df53-966d-4465-b537-67eff46a37b0">
      <Terms xmlns="http://schemas.microsoft.com/office/infopath/2007/PartnerControls"/>
    </TaxKeywordTaxHTField>
    <glbSkjalaholf xmlns="3a80df53-966d-4465-b537-67eff46a37b0">VBS - Útibú</glbSkjalaholf>
    <glbUpprunakerfi xmlns="3a80df53-966d-4465-b537-67eff46a37b0" xsi:nil="true"/>
    <glbFastanumer xmlns="3a80df53-966d-4465-b537-67eff46a37b0" xsi:nil="true"/>
    <glbTungumal xmlns="3a80df53-966d-4465-b537-67eff46a37b0">Enska</glbTungumal>
    <glbSnidmatIGildi xmlns="3a80df53-966d-4465-b537-67eff46a37b0">true</glbSnidmatIGildi>
    <glbAdrarKennitolur xmlns="3a80df53-966d-4465-b537-67eff46a37b0" xsi:nil="true"/>
    <glbKennitolur xmlns="3a80df53-966d-4465-b537-67eff46a37b0" xsi:nil="true"/>
    <glbVersionsXML xmlns="3a80df53-966d-4465-b537-67eff46a37b0" xsi:nil="true"/>
    <glbDagsSkjals xmlns="3a80df53-966d-4465-b537-67eff46a37b0" xsi:nil="true"/>
    <glbMalanumer xmlns="3a80df53-966d-4465-b537-67eff46a37b0" xsi:nil="true"/>
    <d1a7a1bcd69146528a5aaed9a3cced7a xmlns="3a80df53-966d-4465-b537-67eff46a37b0">
      <Terms xmlns="http://schemas.microsoft.com/office/infopath/2007/PartnerControls"/>
    </d1a7a1bcd69146528a5aaed9a3cced7a>
    <fe34b03587d047fcbde570fc54e706fc xmlns="3a80df53-966d-4465-b537-67eff46a37b0">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3a80df53-966d-4465-b537-67eff46a37b0">MBI</glbMikilvaegi>
    <glbDagsThinglysingar xmlns="3a80df53-966d-4465-b537-67eff46a37b0" xsi:nil="true"/>
    <glbSkjalanumer xmlns="3a80df53-966d-4465-b537-67eff46a37b0" xsi:nil="true"/>
    <glbStarfsmannaSkjal xmlns="3a80df53-966d-4465-b537-67eff46a37b0">false</glbStarfsmannaSkjal>
    <glbATH xmlns="3a80df53-966d-4465-b537-67eff46a37b0" xsi:nil="true"/>
    <glbUtprentunardagsetning xmlns="3a80df53-966d-4465-b537-67eff46a37b0" xsi:nil="true"/>
    <jf0ab4b1a7174bc88290c5a10b3f8733 xmlns="3a80df53-966d-4465-b537-67eff46a37b0">
      <Terms xmlns="http://schemas.microsoft.com/office/infopath/2007/PartnerControls">
        <TermInfo xmlns="http://schemas.microsoft.com/office/infopath/2007/PartnerControls">
          <TermName xmlns="http://schemas.microsoft.com/office/infopath/2007/PartnerControls">Stýring (23.2.4)</TermName>
          <TermId xmlns="http://schemas.microsoft.com/office/infopath/2007/PartnerControls">a68de5b4-e981-4e73-8ec8-337bda5eefdf</TermId>
        </TermInfo>
      </Terms>
    </jf0ab4b1a7174bc88290c5a10b3f8733>
    <glbthinglysingarnumer xmlns="3a80df53-966d-4465-b537-67eff46a37b0" xsi:nil="true"/>
    <glbSyslumannsembaetti xmlns="3a80df53-966d-4465-b537-67eff46a37b0" xsi:nil="true"/>
    <glbNafn2 xmlns="3a80df53-966d-4465-b537-67eff46a37b0" xsi:nil="true"/>
    <glbSPPI xmlns="3a80df53-966d-4465-b537-67eff46a37b0">false</glbSPPI>
    <glbTegundUndirritunar xmlns="3a80df53-966d-4465-b537-67eff46a37b0" xsi:nil="true"/>
    <glbEydubladanumer xmlns="3a80df53-966d-4465-b537-67eff46a37b0" xsi:nil="true"/>
    <TaxCatchAllLabel xmlns="3a80df53-966d-4465-b537-67eff46a37b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SharedContentType xmlns="Microsoft.SharePoint.Taxonomy.ContentTypeSync" SourceId="387a38a4-f07d-4951-88b6-7a3d5c72eb92" ContentTypeId="0x010100F15BA5A49E8A7848A8AC46B1811712B701" PreviousValue="false"/>
</file>

<file path=customXml/item3.xml><?xml version="1.0" encoding="utf-8"?>
<ct:contentTypeSchema xmlns:ct="http://schemas.microsoft.com/office/2006/metadata/contentType" xmlns:ma="http://schemas.microsoft.com/office/2006/metadata/properties/metaAttributes" ct:_="" ma:_="" ma:contentTypeName="ABSkjalVV" ma:contentTypeID="0x010100E4B5B3D62F4DD546A0D2B99A9DEF7CFF02003CC77624A804884FB4340578DAFA8E5C" ma:contentTypeVersion="91" ma:contentTypeDescription="Grunnskjal fyrir skjöl viðskiptavina" ma:contentTypeScope="" ma:versionID="f51ce50056b6feb782884e32f18c75f7">
  <xsd:schema xmlns:xsd="http://www.w3.org/2001/XMLSchema" xmlns:xs="http://www.w3.org/2001/XMLSchema" xmlns:p="http://schemas.microsoft.com/office/2006/metadata/properties" xmlns:ns1="http://schemas.microsoft.com/sharepoint/v3" xmlns:ns2="3a80df53-966d-4465-b537-67eff46a37b0" xmlns:ns3="ad6b2046-6491-4289-ba72-c03880166533" targetNamespace="http://schemas.microsoft.com/office/2006/metadata/properties" ma:root="true" ma:fieldsID="59009b5d5113eb1dd711fb31924f2da7" ns1:_="" ns2:_="" ns3:_="">
    <xsd:import namespace="http://schemas.microsoft.com/sharepoint/v3"/>
    <xsd:import namespace="3a80df53-966d-4465-b537-67eff46a37b0"/>
    <xsd:import namespace="ad6b2046-6491-4289-ba72-c03880166533"/>
    <xsd:element name="properties">
      <xsd:complexType>
        <xsd:sequence>
          <xsd:element name="documentManagement">
            <xsd:complexType>
              <xsd:all>
                <xsd:element ref="ns2:glbMikilvaegi"/>
                <xsd:element ref="ns2:glbTungumal" minOccurs="0"/>
                <xsd:element ref="ns2:glbLeynd" minOccurs="0"/>
                <xsd:element ref="ns2:glbATH" minOccurs="0"/>
                <xsd:element ref="ns2:glbSnidmatIGildi" minOccurs="0"/>
                <xsd:element ref="ns2:glbSkjalaholf"/>
                <xsd:element ref="ns2:glbSkilyrt" minOccurs="0"/>
                <xsd:element ref="ns2:glbAdrarKennitolur" minOccurs="0"/>
                <xsd:element ref="ns2:glbSPPI" minOccurs="0"/>
                <xsd:element ref="ns2:glbSPPINidurstada" minOccurs="0"/>
                <xsd:element ref="ns2:glbSPPIProf" minOccurs="0"/>
                <xsd:element ref="ns2:glbSPPIskilmalar" minOccurs="0"/>
                <xsd:element ref="ns2:glbSyslumannsembaetti" minOccurs="0"/>
                <xsd:element ref="ns2:glbFastanumer" minOccurs="0"/>
                <xsd:element ref="ns2:glbLandnumer" minOccurs="0"/>
                <xsd:element ref="ns2:TaxCatchAll" minOccurs="0"/>
                <xsd:element ref="ns2:glbMalanumer" minOccurs="0"/>
                <xsd:element ref="ns2:glbKennitala1" minOccurs="0"/>
                <xsd:element ref="ns2:glbKennitala2" minOccurs="0"/>
                <xsd:element ref="ns2:glbKennitolur" minOccurs="0"/>
                <xsd:element ref="ns2:glbNafn1" minOccurs="0"/>
                <xsd:element ref="ns2:glbNafn2" minOccurs="0"/>
                <xsd:element ref="ns2:glbStarfsmannaSkjal" minOccurs="0"/>
                <xsd:element ref="ns2:glbUpprunakerfi" minOccurs="0"/>
                <xsd:element ref="ns2:glbUtprentunardagsetning" minOccurs="0"/>
                <xsd:element ref="ns2:glbVersionsXML" minOccurs="0"/>
                <xsd:element ref="ns2:glbDagsSkjals" minOccurs="0"/>
                <xsd:element ref="ns2:glbKerfisstada" minOccurs="0"/>
                <xsd:element ref="ns2:glbTegundUndirritunar" minOccurs="0"/>
                <xsd:element ref="ns2:glbthinglysingarnumer" minOccurs="0"/>
                <xsd:element ref="ns2:glbLokadagsetning" minOccurs="0"/>
                <xsd:element ref="ns2:glbSkjalanumer" minOccurs="0"/>
                <xsd:element ref="ns2:glbEydingarDagsetning" minOccurs="0"/>
                <xsd:element ref="ns2:glbDagsThinglysingar" minOccurs="0"/>
                <xsd:element ref="ns2:glbEydubladanumer" minOccurs="0"/>
                <xsd:element ref="ns2:d1a7a1bcd69146528a5aaed9a3cced7a" minOccurs="0"/>
                <xsd:element ref="ns2:TaxCatchAllLabel" minOccurs="0"/>
                <xsd:element ref="ns2:j4fcab34387d4895869c4f1a02cf3739" minOccurs="0"/>
                <xsd:element ref="ns2:jf0ab4b1a7174bc88290c5a10b3f8733" minOccurs="0"/>
                <xsd:element ref="ns2:i94340f58d9c463797252a58a74fbc73" minOccurs="0"/>
                <xsd:element ref="ns2:TaxKeywordTaxHTField" minOccurs="0"/>
                <xsd:element ref="ns2:fe34b03587d047fcbde570fc54e706fc"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80df53-966d-4465-b537-67eff46a37b0" elementFormDefault="qualified">
    <xsd:import namespace="http://schemas.microsoft.com/office/2006/documentManagement/types"/>
    <xsd:import namespace="http://schemas.microsoft.com/office/infopath/2007/PartnerControls"/>
    <xsd:element name="glbMikilvaegi" ma:index="2" ma:displayName="Mikilvægi" ma:default="MBI" ma:format="Dropdown" ma:indexed="true" ma:internalName="glbMikilvaegi" ma:readOnly="false">
      <xsd:simpleType>
        <xsd:restriction base="dms:Choice">
          <xsd:enumeration value="HBI"/>
          <xsd:enumeration value="MBI"/>
          <xsd:enumeration value="LBI"/>
        </xsd:restriction>
      </xsd:simpleType>
    </xsd:element>
    <xsd:element name="glbTungumal" ma:index="4" nillable="true" ma:displayName="Tungumál" ma:default="Íslenska" ma:format="Dropdown" ma:indexed="true" ma:internalName="glbTungumal" ma:readOnly="false">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Leynd" ma:index="5" nillable="true" ma:displayName="Leynd" ma:default="Lág" ma:format="Dropdown" ma:indexed="true" ma:internalName="glbLeynd" ma:readOnly="false">
      <xsd:simpleType>
        <xsd:restriction base="dms:Choice">
          <xsd:enumeration value="Lág"/>
          <xsd:enumeration value="Meðal"/>
          <xsd:enumeration value="Há"/>
        </xsd:restriction>
      </xsd:simpleType>
    </xsd:element>
    <xsd:element name="glbATH" ma:index="6" nillable="true" ma:displayName="ATH" ma:internalName="glbATH" ma:readOnly="false">
      <xsd:simpleType>
        <xsd:restriction base="dms:Note">
          <xsd:maxLength value="255"/>
        </xsd:restriction>
      </xsd:simpleType>
    </xsd:element>
    <xsd:element name="glbSnidmatIGildi" ma:index="8" nillable="true" ma:displayName="Sniðmát í gildi" ma:default="1" ma:indexed="true" ma:internalName="glbSnidmatIGildi" ma:readOnly="false">
      <xsd:simpleType>
        <xsd:restriction base="dms:Boolean"/>
      </xsd:simpleType>
    </xsd:element>
    <xsd:element name="glbSkjalaholf" ma:index="9" ma:displayName="Skjalahólf" ma:default="Óskilgreint" ma:format="Dropdown" ma:internalName="glbSkjalaholf" ma:readOnly="false">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enumeration value="Dunning"/>
          <xsd:enumeration value="Customer Data"/>
          <xsd:enumeration value="Eignafjarmognun"/>
        </xsd:restriction>
      </xsd:simpleType>
    </xsd:element>
    <xsd:element name="glbSkilyrt" ma:index="10" nillable="true" ma:displayName="Skilyrt" ma:internalName="glbSkilyrt" ma:readOnly="false" ma:requiredMultiChoice="true">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AdrarKennitolur" ma:index="11" nillable="true" ma:displayName="AðrarKennitölur" ma:internalName="glbAdrarKennitolur" ma:readOnly="false">
      <xsd:simpleType>
        <xsd:restriction base="dms:Note">
          <xsd:maxLength value="255"/>
        </xsd:restriction>
      </xsd:simpleType>
    </xsd:element>
    <xsd:element name="glbSPPI" ma:index="13" nillable="true" ma:displayName="SPPI" ma:default="0" ma:internalName="glbSPPI" ma:readOnly="false">
      <xsd:simpleType>
        <xsd:restriction base="dms:Boolean"/>
      </xsd:simpleType>
    </xsd:element>
    <xsd:element name="glbSPPINidurstada" ma:index="14" nillable="true" ma:displayName="SPPI niðurstaða" ma:default="[Velja]" ma:format="Dropdown" ma:internalName="glbSPPINidurstada" ma:readOnly="false">
      <xsd:simpleType>
        <xsd:restriction base="dms:Choice">
          <xsd:enumeration value="[Velja]"/>
          <xsd:enumeration value="Staðið"/>
          <xsd:enumeration value="Fallið"/>
        </xsd:restriction>
      </xsd:simpleType>
    </xsd:element>
    <xsd:element name="glbSPPIProf" ma:index="15" nillable="true" ma:displayName="SPPI próf" ma:format="Hyperlink" ma:internalName="glbSPPIPro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16" nillable="true" ma:displayName="SPPI skilmálar" ma:format="Hyperlink" ma:internalName="glbSPPIskilmala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yslumannsembaetti" ma:index="17" nillable="true" ma:displayName="Sýslumannsembætti" ma:description="Sýslumannsembætti sem skjal er unnið hjá." ma:internalName="glbSyslumannsembaetti" ma:readOnly="false">
      <xsd:simpleType>
        <xsd:restriction base="dms:Text"/>
      </xsd:simpleType>
    </xsd:element>
    <xsd:element name="glbFastanumer" ma:index="18" nillable="true" ma:displayName="Fastanúmer" ma:description="Þarf að gera ráð fyrir Fastanúmeri í vörslu t.d. fyrir íbúðir eða bílnúmer." ma:internalName="glbFastanumer" ma:readOnly="false">
      <xsd:simpleType>
        <xsd:restriction base="dms:Text"/>
      </xsd:simpleType>
    </xsd:element>
    <xsd:element name="glbLandnumer" ma:index="19" nillable="true" ma:displayName="Landnúmer" ma:description="Landnúmeri eignar semJaki er þá lóðarnúmer t.d." ma:internalName="glbLandnumer" ma:readOnly="false">
      <xsd:simpleType>
        <xsd:restriction base="dms:Text"/>
      </xsd:simpleType>
    </xsd:element>
    <xsd:element name="TaxCatchAll" ma:index="21" nillable="true" ma:displayName="Taxonomy Catch All Column" ma:hidden="true" ma:list="{a33e7cb1-5fd5-4a75-85ec-81112801288b}" ma:internalName="TaxCatchAll" ma:readOnly="false" ma:showField="CatchAllData"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glbMalanumer" ma:index="22" nillable="true" ma:displayName="Málanúmer" ma:hidden="true" ma:internalName="glbMalanumer" ma:readOnly="false">
      <xsd:simpleType>
        <xsd:restriction base="dms:Text">
          <xsd:maxLength value="255"/>
        </xsd:restriction>
      </xsd:simpleType>
    </xsd:element>
    <xsd:element name="glbKennitala1" ma:index="25" nillable="true" ma:displayName="Kennitala1" ma:hidden="true" ma:internalName="glbKennitala1" ma:readOnly="false">
      <xsd:simpleType>
        <xsd:restriction base="dms:Text">
          <xsd:maxLength value="255"/>
        </xsd:restriction>
      </xsd:simpleType>
    </xsd:element>
    <xsd:element name="glbKennitala2" ma:index="26" nillable="true" ma:displayName="Kennitala2" ma:hidden="true" ma:internalName="glbKennitala2" ma:readOnly="false">
      <xsd:simpleType>
        <xsd:restriction base="dms:Text">
          <xsd:maxLength value="255"/>
        </xsd:restriction>
      </xsd:simpleType>
    </xsd:element>
    <xsd:element name="glbKennitolur" ma:index="28" nillable="true" ma:displayName="Kennitölur" ma:hidden="true" ma:internalName="glbKennitolur" ma:readOnly="false">
      <xsd:simpleType>
        <xsd:restriction base="dms:Text">
          <xsd:maxLength value="255"/>
        </xsd:restriction>
      </xsd:simpleType>
    </xsd:element>
    <xsd:element name="glbNafn1" ma:index="29" nillable="true" ma:displayName="Nafn1" ma:hidden="true" ma:internalName="glbNafn1" ma:readOnly="false">
      <xsd:simpleType>
        <xsd:restriction base="dms:Text">
          <xsd:maxLength value="255"/>
        </xsd:restriction>
      </xsd:simpleType>
    </xsd:element>
    <xsd:element name="glbNafn2" ma:index="30" nillable="true" ma:displayName="Nafn2" ma:hidden="true" ma:internalName="glbNafn2" ma:readOnly="false">
      <xsd:simpleType>
        <xsd:restriction base="dms:Text">
          <xsd:maxLength value="255"/>
        </xsd:restriction>
      </xsd:simpleType>
    </xsd:element>
    <xsd:element name="glbStarfsmannaSkjal" ma:index="32" nillable="true" ma:displayName="StarfsmannaSkjal" ma:default="0" ma:hidden="true" ma:internalName="glbStarfsmannaSkjal" ma:readOnly="false">
      <xsd:simpleType>
        <xsd:restriction base="dms:Boolean"/>
      </xsd:simpleType>
    </xsd:element>
    <xsd:element name="glbUpprunakerfi" ma:index="33" nillable="true" ma:displayName="Upprunakerfi" ma:description="Kerfið þaðan sem skjalið er upprunnið" ma:hidden="true" ma:internalName="glbUpprunakerfi" ma:readOnly="false">
      <xsd:simpleType>
        <xsd:restriction base="dms:Text"/>
      </xsd:simpleType>
    </xsd:element>
    <xsd:element name="glbUtprentunardagsetning" ma:index="34" nillable="true" ma:displayName="Útprentunardagsetning" ma:format="DateTime" ma:hidden="true" ma:internalName="glbUtprentunardagsetning" ma:readOnly="false">
      <xsd:simpleType>
        <xsd:restriction base="dms:DateTime"/>
      </xsd:simpleType>
    </xsd:element>
    <xsd:element name="glbVersionsXML" ma:index="35" nillable="true" ma:displayName="Version XML" ma:hidden="true" ma:internalName="glbVersionsXML" ma:readOnly="false">
      <xsd:simpleType>
        <xsd:restriction base="dms:Note"/>
      </xsd:simpleType>
    </xsd:element>
    <xsd:element name="glbDagsSkjals" ma:index="36" nillable="true" ma:displayName="DagsSkjals" ma:default="[today]" ma:format="DateOnly" ma:hidden="true" ma:internalName="glbDagsSkjals" ma:readOnly="false">
      <xsd:simpleType>
        <xsd:restriction base="dms:DateTime"/>
      </xsd:simpleType>
    </xsd:element>
    <xsd:element name="glbKerfisstada" ma:index="40" nillable="true" ma:displayName="Kerfisstaða" ma:hidden="true" ma:internalName="glbKerfisstada" ma:readOnly="false">
      <xsd:simpleType>
        <xsd:restriction base="dms:Text"/>
      </xsd:simpleType>
    </xsd:element>
    <xsd:element name="glbTegundUndirritunar" ma:index="41" nillable="true" ma:displayName="Tegund undirritunar" ma:hidden="true" ma:internalName="glbTegundUndirritunar" ma:readOnly="false">
      <xsd:simpleType>
        <xsd:restriction base="dms:Note"/>
      </xsd:simpleType>
    </xsd:element>
    <xsd:element name="glbthinglysingarnumer" ma:index="42" nillable="true" ma:displayName="Þinglýsingarnúmer" ma:description="Þinglýsingar númer sem þarf að vista sértækt með gagni." ma:hidden="true" ma:internalName="glbthinglysingarnumer" ma:readOnly="false">
      <xsd:simpleType>
        <xsd:restriction base="dms:Text"/>
      </xsd:simpleType>
    </xsd:element>
    <xsd:element name="glbLokadagsetning" ma:index="43" nillable="true" ma:displayName="LokaDagsSkjals" ma:default="[today]" ma:format="DateOnly" ma:hidden="true" ma:internalName="glbLokadagsetning" ma:readOnly="false">
      <xsd:simpleType>
        <xsd:restriction base="dms:DateTime"/>
      </xsd:simpleType>
    </xsd:element>
    <xsd:element name="glbSkjalanumer" ma:index="44" nillable="true" ma:displayName="Skjalanúmer" ma:hidden="true" ma:internalName="glbSkjalanumer" ma:readOnly="false">
      <xsd:simpleType>
        <xsd:restriction base="dms:Text">
          <xsd:maxLength value="255"/>
        </xsd:restriction>
      </xsd:simpleType>
    </xsd:element>
    <xsd:element name="glbEydingarDagsetning" ma:index="45" nillable="true" ma:displayName="EyðingarDags" ma:format="DateOnly" ma:hidden="true" ma:internalName="glbEydingarDagsetning" ma:readOnly="false">
      <xsd:simpleType>
        <xsd:restriction base="dms:DateTime"/>
      </xsd:simpleType>
    </xsd:element>
    <xsd:element name="glbDagsThinglysingar" ma:index="46" nillable="true" ma:displayName="DagsÞinglýsingar" ma:description="Dagsetningar þinglýsingar – þarf fleiri en eina dagsetningu (sent, móttekið, klárað)? " ma:format="DateTime" ma:hidden="true" ma:internalName="glbDagsThinglysingar" ma:readOnly="false">
      <xsd:simpleType>
        <xsd:restriction base="dms:DateTime"/>
      </xsd:simpleType>
    </xsd:element>
    <xsd:element name="glbEydubladanumer" ma:index="47" nillable="true" ma:displayName="Eyðublaðanúmer" ma:description="Field with reference to Tegund field, should contains template Number" ma:hidden="true" ma:internalName="glbEydubladanumer" ma:readOnly="false">
      <xsd:simpleType>
        <xsd:restriction base="dms:Text"/>
      </xsd:simpleType>
    </xsd:element>
    <xsd:element name="d1a7a1bcd69146528a5aaed9a3cced7a" ma:index="49" nillable="true" ma:taxonomy="true" ma:internalName="d1a7a1bcd69146528a5aaed9a3cced7a" ma:taxonomyFieldName="glbEining" ma:displayName="Eining" ma:readOnly="false" ma:fieldId="{d1a7a1bc-d691-4652-8a5a-aed9a3cced7a}" ma:sspId="fefa8bba-e4ff-442e-bc8e-39d6e28e6fc9" ma:termSetId="04f22232-5d2d-46df-bb1b-22d519772924" ma:anchorId="00000000-0000-0000-0000-000000000000" ma:open="false" ma:isKeyword="false">
      <xsd:complexType>
        <xsd:sequence>
          <xsd:element ref="pc:Terms" minOccurs="0" maxOccurs="1"/>
        </xsd:sequence>
      </xsd:complexType>
    </xsd:element>
    <xsd:element name="TaxCatchAllLabel" ma:index="50" nillable="true" ma:displayName="Taxonomy Catch All Column1" ma:hidden="true" ma:list="{a33e7cb1-5fd5-4a75-85ec-81112801288b}" ma:internalName="TaxCatchAllLabel" ma:readOnly="false" ma:showField="CatchAllDataLabel"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51" nillable="true" ma:taxonomy="true" ma:internalName="j4fcab34387d4895869c4f1a02cf3739" ma:taxonomyFieldName="glbGeymsluaaetlun" ma:displayName="Geymsluáætlun" ma:indexed="true" ma:readOnly="false" ma:fieldId="{34fcab34-387d-4895-869c-4f1a02cf3739}" ma:sspId="fefa8bba-e4ff-442e-bc8e-39d6e28e6fc9"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52" ma:taxonomy="true" ma:internalName="jf0ab4b1a7174bc88290c5a10b3f8733" ma:taxonomyFieldName="glbSkjalalykill" ma:displayName="Skjalalykill" ma:indexed="true" ma:readOnly="false" ma:fieldId="{3f0ab4b1-a717-4bc8-8290-c5a10b3f8733}" ma:sspId="fefa8bba-e4ff-442e-bc8e-39d6e28e6fc9"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53" ma:taxonomy="true" ma:internalName="i94340f58d9c463797252a58a74fbc73" ma:taxonomyFieldName="glbTegundVVSkjals" ma:displayName="Tegund" ma:indexed="true" ma:readOnly="false" ma:fieldId="{294340f5-8d9c-4637-9725-2a58a74fbc73}" ma:sspId="fefa8bba-e4ff-442e-bc8e-39d6e28e6fc9" ma:termSetId="94855115-a605-43e2-9d63-09f66ea60609" ma:anchorId="00000000-0000-0000-0000-000000000000" ma:open="false" ma:isKeyword="false">
      <xsd:complexType>
        <xsd:sequence>
          <xsd:element ref="pc:Terms" minOccurs="0" maxOccurs="1"/>
        </xsd:sequence>
      </xsd:complexType>
    </xsd:element>
    <xsd:element name="TaxKeywordTaxHTField" ma:index="54" nillable="true" ma:taxonomy="true" ma:internalName="TaxKeywordTaxHTField" ma:taxonomyFieldName="TaxKeyword" ma:displayName="Enterprise Keywords" ma:readOnly="false" ma:fieldId="{23f27201-bee3-471e-b2e7-b64fd8b7ca38}" ma:taxonomyMulti="true" ma:sspId="fefa8bba-e4ff-442e-bc8e-39d6e28e6fc9" ma:termSetId="00000000-0000-0000-0000-000000000000" ma:anchorId="00000000-0000-0000-0000-000000000000" ma:open="true" ma:isKeyword="true">
      <xsd:complexType>
        <xsd:sequence>
          <xsd:element ref="pc:Terms" minOccurs="0" maxOccurs="1"/>
        </xsd:sequence>
      </xsd:complexType>
    </xsd:element>
    <xsd:element name="fe34b03587d047fcbde570fc54e706fc" ma:index="55" nillable="true" ma:taxonomy="true" ma:internalName="fe34b03587d047fcbde570fc54e706fc" ma:taxonomyFieldName="glbStadaVV" ma:displayName="Staða" ma:readOnly="false" ma:default="5;#Skjal/umsókn í vinnslu|f0160a8e-60d0-41ad-995a-b5aa424730e4" ma:fieldId="{fe34b035-87d0-47fc-bde5-70fc54e706fc}" ma:sspId="fefa8bba-e4ff-442e-bc8e-39d6e28e6fc9" ma:termSetId="d91d9bf0-b904-4314-891c-c74dadd872f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6b2046-6491-4289-ba72-c03880166533" elementFormDefault="qualified">
    <xsd:import namespace="http://schemas.microsoft.com/office/2006/documentManagement/types"/>
    <xsd:import namespace="http://schemas.microsoft.com/office/infopath/2007/PartnerControls"/>
    <xsd:element name="MediaServiceMetadata" ma:index="56" nillable="true" ma:displayName="MediaServiceMetadata" ma:hidden="true" ma:internalName="MediaServiceMetadata" ma:readOnly="true">
      <xsd:simpleType>
        <xsd:restriction base="dms:Note"/>
      </xsd:simpleType>
    </xsd:element>
    <xsd:element name="MediaServiceFastMetadata" ma:index="57" nillable="true" ma:displayName="MediaServiceFastMetadata" ma:hidden="true" ma:internalName="MediaServiceFastMetadata" ma:readOnly="true">
      <xsd:simpleType>
        <xsd:restriction base="dms:Note"/>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ObjectDetectorVersions" ma:index="59"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2C057-B776-489E-8C27-FD698916D901}">
  <ds:schemaRefs>
    <ds:schemaRef ds:uri="http://schemas.microsoft.com/office/2006/documentManagement/types"/>
    <ds:schemaRef ds:uri="534d0f36-a7db-4464-a30e-a25dcf1b655d"/>
    <ds:schemaRef ds:uri="http://purl.org/dc/elements/1.1/"/>
    <ds:schemaRef ds:uri="http://schemas.microsoft.com/office/2006/metadata/properties"/>
    <ds:schemaRef ds:uri="3bbe397a-f104-41c1-a027-56c503be3da2"/>
    <ds:schemaRef ds:uri="http://purl.org/dc/terms/"/>
    <ds:schemaRef ds:uri="http://schemas.openxmlformats.org/package/2006/metadata/core-properties"/>
    <ds:schemaRef ds:uri="http://schemas.microsoft.com/office/infopath/2007/PartnerControls"/>
    <ds:schemaRef ds:uri="80fb910c-babb-4bfd-9912-d04f91f305dd"/>
    <ds:schemaRef ds:uri="http://www.w3.org/XML/1998/namespace"/>
    <ds:schemaRef ds:uri="http://purl.org/dc/dcmitype/"/>
  </ds:schemaRefs>
</ds:datastoreItem>
</file>

<file path=customXml/itemProps2.xml><?xml version="1.0" encoding="utf-8"?>
<ds:datastoreItem xmlns:ds="http://schemas.openxmlformats.org/officeDocument/2006/customXml" ds:itemID="{980CCEA1-8113-448D-9562-71048B0E5F8F}"/>
</file>

<file path=customXml/itemProps3.xml><?xml version="1.0" encoding="utf-8"?>
<ds:datastoreItem xmlns:ds="http://schemas.openxmlformats.org/officeDocument/2006/customXml" ds:itemID="{07BC19D3-3E19-42ED-842B-131660B8B732}"/>
</file>

<file path=customXml/itemProps4.xml><?xml version="1.0" encoding="utf-8"?>
<ds:datastoreItem xmlns:ds="http://schemas.openxmlformats.org/officeDocument/2006/customXml" ds:itemID="{B806180C-A3F5-4974-9112-05F90E1F8C2D}"/>
</file>

<file path=customXml/itemProps5.xml><?xml version="1.0" encoding="utf-8"?>
<ds:datastoreItem xmlns:ds="http://schemas.openxmlformats.org/officeDocument/2006/customXml" ds:itemID="{52B337BF-97DB-4206-826F-DA0BF2248686}">
  <ds:schemaRefs>
    <ds:schemaRef ds:uri="http://schemas.microsoft.com/sharepoint/v3/contenttype/forms"/>
  </ds:schemaRefs>
</ds:datastoreItem>
</file>

<file path=customXml/itemProps6.xml><?xml version="1.0" encoding="utf-8"?>
<ds:datastoreItem xmlns:ds="http://schemas.openxmlformats.org/officeDocument/2006/customXml" ds:itemID="{2A9A9DB2-C0E1-4AE2-B96C-DD0077E6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13538</CharactersWithSpaces>
  <SharedDoc>false</SharedDoc>
  <HLinks>
    <vt:vector size="6" baseType="variant">
      <vt:variant>
        <vt:i4>6422627</vt:i4>
      </vt:variant>
      <vt:variant>
        <vt:i4>24</vt:i4>
      </vt:variant>
      <vt:variant>
        <vt:i4>0</vt:i4>
      </vt:variant>
      <vt:variant>
        <vt:i4>5</vt:i4>
      </vt:variant>
      <vt:variant>
        <vt:lpwstr>http://www.arionbanki.is/fjarfestavernd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Rósa Steinþórsdóttir</dc:creator>
  <cp:keywords/>
  <dc:description/>
  <cp:lastModifiedBy>Ásgerður Káradóttir</cp:lastModifiedBy>
  <cp:revision>4</cp:revision>
  <cp:lastPrinted>2016-12-13T08:39:00Z</cp:lastPrinted>
  <dcterms:created xsi:type="dcterms:W3CDTF">2022-12-27T11:02:00Z</dcterms:created>
  <dcterms:modified xsi:type="dcterms:W3CDTF">2023-12-04T09:19:00Z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TegundVVSkjals">
    <vt:lpwstr>584;#Verðbréf - Vörslusamningur við viðskiptavin (MiFID) - Einstaklingur|54a6da17-5dc4-4f40-955d-f886ccb059ec</vt:lpwstr>
  </property>
  <property fmtid="{D5CDD505-2E9C-101B-9397-08002B2CF9AE}" pid="3" name="ContentTypeId">
    <vt:lpwstr>0x010100E4B5B3D62F4DD546A0D2B99A9DEF7CFF02003CC77624A804884FB4340578DAFA8E5C</vt:lpwstr>
  </property>
  <property fmtid="{D5CDD505-2E9C-101B-9397-08002B2CF9AE}" pid="4" name="glbStadaVV">
    <vt:lpwstr>5;#Skjal/umsókn í vinnslu|f0160a8e-60d0-41ad-995a-b5aa424730e4</vt:lpwstr>
  </property>
  <property fmtid="{D5CDD505-2E9C-101B-9397-08002B2CF9AE}" pid="5" name="glbEining">
    <vt:lpwstr/>
  </property>
  <property fmtid="{D5CDD505-2E9C-101B-9397-08002B2CF9AE}" pid="6" name="_dlc_DocIdItemGuid">
    <vt:lpwstr>458bd8ae-edb5-421e-96b2-43f86b47fc31</vt:lpwstr>
  </property>
  <property fmtid="{D5CDD505-2E9C-101B-9397-08002B2CF9AE}" pid="7" name="glbSkjalalykill">
    <vt:lpwstr>226;#Stýring (23.2.4)|a68de5b4-e981-4e73-8ec8-337bda5eefdf</vt:lpwstr>
  </property>
  <property fmtid="{D5CDD505-2E9C-101B-9397-08002B2CF9AE}" pid="8" name="glbGeymsluaaetlun">
    <vt:lpwstr>11;#Lokadags +7 ár|6780ba3d-ef1f-4052-94ba-8da1c46d2c94</vt:lpwstr>
  </property>
  <property fmtid="{D5CDD505-2E9C-101B-9397-08002B2CF9AE}" pid="9" name="_NewReviewCycle">
    <vt:lpwstr/>
  </property>
  <property fmtid="{D5CDD505-2E9C-101B-9397-08002B2CF9AE}" pid="10" name="WorkflowChangePath">
    <vt:lpwstr>fe129b94-708f-41ce-9e11-080c4ab001b1,34;fe129b94-708f-41ce-9e11-080c4ab001b1,39;fe129b94-708f-41ce-9e11-080c4ab001b1,44;fe129b94-708f-41ce-9e11-080c4ab001b1,49;fe129b94-708f-41ce-9e11-080c4ab001b1,5;fe129b94-708f-41ce-9e11-080c4ab001b1,10;fe129b94-708f-41fe129b94-708f-41ce-9e11-080c4ab001b1,19;fe129b94-708f-41ce-9e11-080c4ab001b1,26;fe129b94-708f-41ce-9e11-080c4ab001b1,31;</vt:lpwstr>
  </property>
  <property fmtid="{D5CDD505-2E9C-101B-9397-08002B2CF9AE}" pid="11" name="TaxKeyword">
    <vt:lpwstr/>
  </property>
  <property fmtid="{D5CDD505-2E9C-101B-9397-08002B2CF9AE}" pid="17" name="Tengist Kerfi">
    <vt:lpwstr>Ytrivefur</vt:lpwstr>
  </property>
  <property fmtid="{D5CDD505-2E9C-101B-9397-08002B2CF9AE}" pid="19" name="glbLand">
    <vt:lpwstr/>
  </property>
  <property fmtid="{D5CDD505-2E9C-101B-9397-08002B2CF9AE}" pid="20" name="ValdaVistun">
    <vt:lpwstr/>
  </property>
  <property fmtid="{D5CDD505-2E9C-101B-9397-08002B2CF9AE}" pid="21" name="glbLananumer">
    <vt:lpwstr/>
  </property>
  <property fmtid="{D5CDD505-2E9C-101B-9397-08002B2CF9AE}" pid="22" name="glbReikningsnumer">
    <vt:lpwstr/>
  </property>
  <property fmtid="{D5CDD505-2E9C-101B-9397-08002B2CF9AE}" pid="23" name="glbTilvisun">
    <vt:lpwstr/>
  </property>
  <property fmtid="{D5CDD505-2E9C-101B-9397-08002B2CF9AE}" pid="24" name="glbLanveitandi">
    <vt:lpwstr/>
  </property>
</Properties>
</file>