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5541A" w:rsidRPr="0025541A" w14:paraId="0CD8EFD3" w14:textId="77777777" w:rsidTr="00165C98">
        <w:tc>
          <w:tcPr>
            <w:tcW w:w="3835" w:type="pct"/>
          </w:tcPr>
          <w:p w14:paraId="76EC2C49" w14:textId="77777777" w:rsidR="0025541A" w:rsidRPr="0025541A" w:rsidRDefault="0025541A" w:rsidP="0025541A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25541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Samningur</w:t>
            </w:r>
          </w:p>
        </w:tc>
        <w:tc>
          <w:tcPr>
            <w:tcW w:w="1165" w:type="pct"/>
          </w:tcPr>
          <w:p w14:paraId="5D6BD50B" w14:textId="77777777" w:rsidR="0025541A" w:rsidRPr="0025541A" w:rsidRDefault="0025541A" w:rsidP="0025541A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25541A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23451915" wp14:editId="2CDFF24D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541A" w:rsidRPr="0025541A" w14:paraId="72117868" w14:textId="77777777" w:rsidTr="00165C98">
        <w:trPr>
          <w:trHeight w:val="397"/>
        </w:trPr>
        <w:tc>
          <w:tcPr>
            <w:tcW w:w="3835" w:type="pct"/>
            <w:vAlign w:val="center"/>
          </w:tcPr>
          <w:p w14:paraId="7975298C" w14:textId="77777777" w:rsidR="0025541A" w:rsidRPr="0025541A" w:rsidRDefault="0025541A" w:rsidP="0025541A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25541A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innheimtuþjónustu</w:t>
            </w:r>
          </w:p>
        </w:tc>
        <w:tc>
          <w:tcPr>
            <w:tcW w:w="1165" w:type="pct"/>
            <w:vAlign w:val="bottom"/>
          </w:tcPr>
          <w:p w14:paraId="1EC7CD08" w14:textId="77777777" w:rsidR="0025541A" w:rsidRPr="0025541A" w:rsidRDefault="0025541A" w:rsidP="0025541A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E98921A" w14:textId="77777777" w:rsidR="00834478" w:rsidRDefault="00834478">
      <w:pPr>
        <w:rPr>
          <w:rStyle w:val="SubtleEmphasis"/>
        </w:rPr>
      </w:pPr>
    </w:p>
    <w:p w14:paraId="3E98921B" w14:textId="77777777" w:rsidR="00E94D61" w:rsidRDefault="00E94D61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BB05EB" w:rsidRPr="00F650F9" w14:paraId="3E98921F" w14:textId="77777777" w:rsidTr="007F0B59">
        <w:tc>
          <w:tcPr>
            <w:tcW w:w="3570" w:type="pct"/>
            <w:tcBorders>
              <w:bottom w:val="single" w:sz="2" w:space="0" w:color="auto"/>
            </w:tcBorders>
          </w:tcPr>
          <w:p w14:paraId="3E98921C" w14:textId="53F70FF0" w:rsidR="00BB05EB" w:rsidRPr="00F650F9" w:rsidRDefault="00861B3D" w:rsidP="00AE6B58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3E98921D" w14:textId="77777777" w:rsidR="00BB05EB" w:rsidRPr="00F650F9" w:rsidRDefault="00BB05EB" w:rsidP="00AE0290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3E98921E" w14:textId="395FB73A" w:rsidR="00BB05EB" w:rsidRPr="00F650F9" w:rsidRDefault="00C2115E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BB05EB" w:rsidRPr="00F650F9" w14:paraId="3E989223" w14:textId="77777777" w:rsidTr="007F0B59">
        <w:tc>
          <w:tcPr>
            <w:tcW w:w="3570" w:type="pct"/>
            <w:tcBorders>
              <w:top w:val="single" w:sz="2" w:space="0" w:color="auto"/>
            </w:tcBorders>
          </w:tcPr>
          <w:p w14:paraId="3E989220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  <w:r w:rsidR="007F0B59">
              <w:rPr>
                <w:rStyle w:val="Strong"/>
              </w:rPr>
              <w:t xml:space="preserve"> kröfuhafa</w:t>
            </w:r>
          </w:p>
        </w:tc>
        <w:tc>
          <w:tcPr>
            <w:tcW w:w="140" w:type="pct"/>
          </w:tcPr>
          <w:p w14:paraId="3E989221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3E989222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tbl>
      <w:tblPr>
        <w:tblW w:w="5003" w:type="pct"/>
        <w:tblLook w:val="04A0" w:firstRow="1" w:lastRow="0" w:firstColumn="1" w:lastColumn="0" w:noHBand="0" w:noVBand="1"/>
      </w:tblPr>
      <w:tblGrid>
        <w:gridCol w:w="7044"/>
        <w:gridCol w:w="280"/>
        <w:gridCol w:w="2546"/>
      </w:tblGrid>
      <w:tr w:rsidR="00C2115E" w:rsidRPr="007F0B59" w14:paraId="2BD49DFA" w14:textId="77777777" w:rsidTr="00C47BA3">
        <w:trPr>
          <w:trHeight w:val="283"/>
        </w:trPr>
        <w:tc>
          <w:tcPr>
            <w:tcW w:w="3568" w:type="pct"/>
            <w:tcBorders>
              <w:bottom w:val="single" w:sz="2" w:space="0" w:color="auto"/>
            </w:tcBorders>
            <w:vAlign w:val="bottom"/>
          </w:tcPr>
          <w:p w14:paraId="23CE88A7" w14:textId="37D3446D" w:rsidR="00C2115E" w:rsidRPr="007F0B59" w:rsidRDefault="00C2115E" w:rsidP="00C47BA3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ETFANG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2" w:type="pct"/>
            <w:vAlign w:val="bottom"/>
          </w:tcPr>
          <w:p w14:paraId="455D46B5" w14:textId="77777777" w:rsidR="00C2115E" w:rsidRPr="007F0B59" w:rsidRDefault="00C2115E" w:rsidP="00C47BA3">
            <w:pPr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  <w:vAlign w:val="bottom"/>
          </w:tcPr>
          <w:p w14:paraId="1DA3B146" w14:textId="53FDADC7" w:rsidR="00C2115E" w:rsidRPr="007F0B59" w:rsidRDefault="00C2115E" w:rsidP="00C47BA3">
            <w:pPr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</w:tr>
      <w:tr w:rsidR="00C2115E" w:rsidRPr="007F0B59" w14:paraId="2A191629" w14:textId="77777777" w:rsidTr="00C2115E">
        <w:tc>
          <w:tcPr>
            <w:tcW w:w="3568" w:type="pct"/>
            <w:tcBorders>
              <w:top w:val="single" w:sz="2" w:space="0" w:color="auto"/>
            </w:tcBorders>
          </w:tcPr>
          <w:p w14:paraId="16BD479B" w14:textId="32197C94" w:rsidR="00C2115E" w:rsidRPr="007F0B59" w:rsidRDefault="00C2115E" w:rsidP="00C2115E">
            <w:pPr>
              <w:rPr>
                <w:rStyle w:val="Strong"/>
              </w:rPr>
            </w:pPr>
            <w:r>
              <w:rPr>
                <w:rStyle w:val="Strong"/>
              </w:rPr>
              <w:t>Netfang</w:t>
            </w:r>
          </w:p>
        </w:tc>
        <w:tc>
          <w:tcPr>
            <w:tcW w:w="142" w:type="pct"/>
          </w:tcPr>
          <w:p w14:paraId="7670B93B" w14:textId="77777777" w:rsidR="00C2115E" w:rsidRPr="007F0B59" w:rsidRDefault="00C2115E" w:rsidP="0029658F">
            <w:pPr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0432C0BF" w14:textId="12079508" w:rsidR="00C2115E" w:rsidRPr="007F0B59" w:rsidRDefault="00C2115E" w:rsidP="0029658F">
            <w:pPr>
              <w:rPr>
                <w:rStyle w:val="Strong"/>
              </w:rPr>
            </w:pPr>
            <w:r w:rsidRPr="007F0B59">
              <w:rPr>
                <w:rStyle w:val="Strong"/>
              </w:rPr>
              <w:t>Sími</w:t>
            </w:r>
          </w:p>
        </w:tc>
      </w:tr>
    </w:tbl>
    <w:p w14:paraId="3E989224" w14:textId="77777777" w:rsidR="007F0B59" w:rsidRPr="00E70F27" w:rsidRDefault="007F0B59" w:rsidP="007F0B59">
      <w:pPr>
        <w:rPr>
          <w:rFonts w:ascii="Verdana" w:hAnsi="Verdana"/>
          <w:sz w:val="8"/>
          <w:szCs w:val="8"/>
        </w:rPr>
      </w:pPr>
    </w:p>
    <w:p w14:paraId="3E989225" w14:textId="77777777" w:rsidR="007F0B59" w:rsidRPr="007F0B59" w:rsidRDefault="007F0B59" w:rsidP="007F0B59">
      <w:pPr>
        <w:rPr>
          <w:rStyle w:val="SubtleEmphasis"/>
        </w:rPr>
      </w:pPr>
      <w:r w:rsidRPr="007F0B59">
        <w:rPr>
          <w:rStyle w:val="SubtleEmphasis"/>
        </w:rPr>
        <w:t>og Arion banki hf. gera með sér eftirfarandi samning um innheimtu.</w:t>
      </w:r>
    </w:p>
    <w:p w14:paraId="3E989226" w14:textId="77777777" w:rsidR="007F0B59" w:rsidRPr="00E94D61" w:rsidRDefault="007F0B59" w:rsidP="007F0B59">
      <w:pPr>
        <w:rPr>
          <w:rFonts w:ascii="Verdana" w:hAnsi="Verdana"/>
          <w:sz w:val="12"/>
          <w:szCs w:val="8"/>
        </w:rPr>
      </w:pPr>
    </w:p>
    <w:tbl>
      <w:tblPr>
        <w:tblW w:w="5031" w:type="pct"/>
        <w:tblLayout w:type="fixed"/>
        <w:tblLook w:val="04A0" w:firstRow="1" w:lastRow="0" w:firstColumn="1" w:lastColumn="0" w:noHBand="0" w:noVBand="1"/>
      </w:tblPr>
      <w:tblGrid>
        <w:gridCol w:w="1389"/>
        <w:gridCol w:w="722"/>
        <w:gridCol w:w="693"/>
        <w:gridCol w:w="298"/>
        <w:gridCol w:w="280"/>
        <w:gridCol w:w="405"/>
        <w:gridCol w:w="159"/>
        <w:gridCol w:w="278"/>
        <w:gridCol w:w="6"/>
        <w:gridCol w:w="989"/>
        <w:gridCol w:w="597"/>
        <w:gridCol w:w="993"/>
        <w:gridCol w:w="1062"/>
        <w:gridCol w:w="2054"/>
      </w:tblGrid>
      <w:tr w:rsidR="00E94D61" w:rsidRPr="007F0B59" w14:paraId="3E989237" w14:textId="77777777" w:rsidTr="00E303D0">
        <w:trPr>
          <w:trHeight w:val="340"/>
        </w:trPr>
        <w:tc>
          <w:tcPr>
            <w:tcW w:w="1064" w:type="pct"/>
            <w:gridSpan w:val="2"/>
            <w:vAlign w:val="bottom"/>
          </w:tcPr>
          <w:p w14:paraId="3E989234" w14:textId="77777777" w:rsidR="0036452E" w:rsidRPr="007F0B59" w:rsidRDefault="0036452E" w:rsidP="004E1DAF">
            <w:pPr>
              <w:pStyle w:val="Header"/>
              <w:rPr>
                <w:rStyle w:val="SubtleEmphasis"/>
              </w:rPr>
            </w:pPr>
            <w:bookmarkStart w:id="3" w:name="_Hlk139971886"/>
            <w:r>
              <w:rPr>
                <w:rStyle w:val="SubtleEmphasis"/>
              </w:rPr>
              <w:t>Textalykill auðkennis:</w:t>
            </w:r>
          </w:p>
        </w:tc>
        <w:tc>
          <w:tcPr>
            <w:tcW w:w="1865" w:type="pct"/>
            <w:gridSpan w:val="9"/>
            <w:tcBorders>
              <w:bottom w:val="single" w:sz="2" w:space="0" w:color="auto"/>
            </w:tcBorders>
            <w:vAlign w:val="bottom"/>
          </w:tcPr>
          <w:p w14:paraId="3E989235" w14:textId="77777777" w:rsidR="0036452E" w:rsidRPr="007F0B59" w:rsidRDefault="0036452E" w:rsidP="004E1DAF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2070" w:type="pct"/>
            <w:gridSpan w:val="3"/>
            <w:vAlign w:val="bottom"/>
          </w:tcPr>
          <w:p w14:paraId="3E989236" w14:textId="77777777" w:rsidR="0036452E" w:rsidRPr="003C0949" w:rsidRDefault="00BA502F" w:rsidP="004E1DAF">
            <w:pPr>
              <w:pStyle w:val="Header"/>
              <w:rPr>
                <w:rStyle w:val="Strong"/>
              </w:rPr>
            </w:pPr>
            <w:r w:rsidRPr="00BA502F">
              <w:rPr>
                <w:rStyle w:val="Strong"/>
              </w:rPr>
              <w:t>(Tveggja stafa lykill. Þ.e. lýsing á því sem verið er að innheimta. Dæmi: 37 = Reikningar. KD = Leiga)</w:t>
            </w:r>
          </w:p>
        </w:tc>
      </w:tr>
      <w:tr w:rsidR="00E94D61" w:rsidRPr="007F0B59" w14:paraId="3E98923F" w14:textId="77777777" w:rsidTr="00E303D0">
        <w:trPr>
          <w:trHeight w:val="397"/>
        </w:trPr>
        <w:tc>
          <w:tcPr>
            <w:tcW w:w="1064" w:type="pct"/>
            <w:gridSpan w:val="2"/>
            <w:vAlign w:val="bottom"/>
          </w:tcPr>
          <w:p w14:paraId="3E989238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Ráðstöfunarreikningur:</w:t>
            </w:r>
          </w:p>
        </w:tc>
        <w:tc>
          <w:tcPr>
            <w:tcW w:w="499" w:type="pct"/>
            <w:gridSpan w:val="2"/>
            <w:tcBorders>
              <w:bottom w:val="single" w:sz="2" w:space="0" w:color="auto"/>
            </w:tcBorders>
            <w:vAlign w:val="bottom"/>
          </w:tcPr>
          <w:p w14:paraId="3E989239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141" w:type="pct"/>
            <w:vAlign w:val="bottom"/>
          </w:tcPr>
          <w:p w14:paraId="3E98923A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</w:p>
        </w:tc>
        <w:tc>
          <w:tcPr>
            <w:tcW w:w="284" w:type="pct"/>
            <w:gridSpan w:val="2"/>
            <w:tcBorders>
              <w:bottom w:val="single" w:sz="2" w:space="0" w:color="auto"/>
            </w:tcBorders>
            <w:vAlign w:val="bottom"/>
          </w:tcPr>
          <w:p w14:paraId="3E98923B" w14:textId="77777777" w:rsidR="003C0949" w:rsidRPr="007F0B59" w:rsidRDefault="00BA502F" w:rsidP="003C0949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43" w:type="pct"/>
            <w:gridSpan w:val="2"/>
            <w:vAlign w:val="bottom"/>
          </w:tcPr>
          <w:p w14:paraId="3E98923C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</w:p>
        </w:tc>
        <w:tc>
          <w:tcPr>
            <w:tcW w:w="798" w:type="pct"/>
            <w:gridSpan w:val="2"/>
            <w:tcBorders>
              <w:bottom w:val="single" w:sz="2" w:space="0" w:color="auto"/>
            </w:tcBorders>
            <w:vAlign w:val="bottom"/>
          </w:tcPr>
          <w:p w14:paraId="3E98923D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2070" w:type="pct"/>
            <w:gridSpan w:val="3"/>
            <w:vAlign w:val="bottom"/>
          </w:tcPr>
          <w:p w14:paraId="3E98923E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</w:p>
        </w:tc>
      </w:tr>
      <w:tr w:rsidR="00E94D61" w:rsidRPr="007F0B59" w14:paraId="3E989247" w14:textId="77777777" w:rsidTr="00E303D0">
        <w:tc>
          <w:tcPr>
            <w:tcW w:w="1064" w:type="pct"/>
            <w:gridSpan w:val="2"/>
          </w:tcPr>
          <w:p w14:paraId="3E989240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  <w:tc>
          <w:tcPr>
            <w:tcW w:w="499" w:type="pct"/>
            <w:gridSpan w:val="2"/>
            <w:tcBorders>
              <w:top w:val="single" w:sz="2" w:space="0" w:color="auto"/>
            </w:tcBorders>
          </w:tcPr>
          <w:p w14:paraId="3E989241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Banki</w:t>
            </w:r>
          </w:p>
        </w:tc>
        <w:tc>
          <w:tcPr>
            <w:tcW w:w="141" w:type="pct"/>
          </w:tcPr>
          <w:p w14:paraId="3E989242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  <w:tc>
          <w:tcPr>
            <w:tcW w:w="284" w:type="pct"/>
            <w:gridSpan w:val="2"/>
            <w:tcBorders>
              <w:top w:val="single" w:sz="2" w:space="0" w:color="auto"/>
            </w:tcBorders>
          </w:tcPr>
          <w:p w14:paraId="3E989243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hb</w:t>
            </w:r>
          </w:p>
        </w:tc>
        <w:tc>
          <w:tcPr>
            <w:tcW w:w="143" w:type="pct"/>
            <w:gridSpan w:val="2"/>
          </w:tcPr>
          <w:p w14:paraId="3E989244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  <w:tc>
          <w:tcPr>
            <w:tcW w:w="798" w:type="pct"/>
            <w:gridSpan w:val="2"/>
            <w:tcBorders>
              <w:top w:val="single" w:sz="2" w:space="0" w:color="auto"/>
            </w:tcBorders>
          </w:tcPr>
          <w:p w14:paraId="3E989245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Reikningsnúmer</w:t>
            </w:r>
          </w:p>
        </w:tc>
        <w:tc>
          <w:tcPr>
            <w:tcW w:w="2070" w:type="pct"/>
            <w:gridSpan w:val="3"/>
          </w:tcPr>
          <w:p w14:paraId="3E989246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</w:tr>
      <w:tr w:rsidR="00E94D61" w:rsidRPr="007F0B59" w14:paraId="3E98924F" w14:textId="77777777" w:rsidTr="00E303D0">
        <w:trPr>
          <w:trHeight w:val="340"/>
        </w:trPr>
        <w:tc>
          <w:tcPr>
            <w:tcW w:w="1064" w:type="pct"/>
            <w:gridSpan w:val="2"/>
            <w:vAlign w:val="bottom"/>
          </w:tcPr>
          <w:p w14:paraId="3E989248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Skuldfærslureikningur:</w:t>
            </w:r>
          </w:p>
        </w:tc>
        <w:tc>
          <w:tcPr>
            <w:tcW w:w="499" w:type="pct"/>
            <w:gridSpan w:val="2"/>
            <w:tcBorders>
              <w:bottom w:val="single" w:sz="2" w:space="0" w:color="auto"/>
            </w:tcBorders>
            <w:vAlign w:val="bottom"/>
          </w:tcPr>
          <w:p w14:paraId="3E989249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41" w:type="pct"/>
            <w:vAlign w:val="bottom"/>
          </w:tcPr>
          <w:p w14:paraId="3E98924A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</w:p>
        </w:tc>
        <w:tc>
          <w:tcPr>
            <w:tcW w:w="284" w:type="pct"/>
            <w:gridSpan w:val="2"/>
            <w:tcBorders>
              <w:bottom w:val="single" w:sz="2" w:space="0" w:color="auto"/>
            </w:tcBorders>
            <w:vAlign w:val="bottom"/>
          </w:tcPr>
          <w:p w14:paraId="3E98924B" w14:textId="77777777" w:rsidR="003C0949" w:rsidRPr="007F0B59" w:rsidRDefault="00BA502F" w:rsidP="003C0949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143" w:type="pct"/>
            <w:gridSpan w:val="2"/>
            <w:vAlign w:val="bottom"/>
          </w:tcPr>
          <w:p w14:paraId="3E98924C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</w:p>
        </w:tc>
        <w:tc>
          <w:tcPr>
            <w:tcW w:w="798" w:type="pct"/>
            <w:gridSpan w:val="2"/>
            <w:tcBorders>
              <w:bottom w:val="single" w:sz="2" w:space="0" w:color="auto"/>
            </w:tcBorders>
            <w:vAlign w:val="bottom"/>
          </w:tcPr>
          <w:p w14:paraId="3E98924D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2070" w:type="pct"/>
            <w:gridSpan w:val="3"/>
            <w:vAlign w:val="bottom"/>
          </w:tcPr>
          <w:p w14:paraId="3E98924E" w14:textId="77777777" w:rsidR="003C0949" w:rsidRPr="007F0B59" w:rsidRDefault="003C0949" w:rsidP="003C0949">
            <w:pPr>
              <w:pStyle w:val="Header"/>
              <w:rPr>
                <w:rStyle w:val="SubtleEmphasis"/>
              </w:rPr>
            </w:pPr>
          </w:p>
        </w:tc>
      </w:tr>
      <w:tr w:rsidR="00E94D61" w:rsidRPr="007F0B59" w14:paraId="3E989257" w14:textId="77777777" w:rsidTr="00E303D0">
        <w:trPr>
          <w:trHeight w:val="170"/>
        </w:trPr>
        <w:tc>
          <w:tcPr>
            <w:tcW w:w="1064" w:type="pct"/>
            <w:gridSpan w:val="2"/>
          </w:tcPr>
          <w:p w14:paraId="3E989250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  <w:tc>
          <w:tcPr>
            <w:tcW w:w="499" w:type="pct"/>
            <w:gridSpan w:val="2"/>
            <w:tcBorders>
              <w:top w:val="single" w:sz="2" w:space="0" w:color="auto"/>
            </w:tcBorders>
          </w:tcPr>
          <w:p w14:paraId="3E989251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Banki</w:t>
            </w:r>
          </w:p>
        </w:tc>
        <w:tc>
          <w:tcPr>
            <w:tcW w:w="141" w:type="pct"/>
          </w:tcPr>
          <w:p w14:paraId="3E989252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  <w:tc>
          <w:tcPr>
            <w:tcW w:w="284" w:type="pct"/>
            <w:gridSpan w:val="2"/>
            <w:tcBorders>
              <w:top w:val="single" w:sz="2" w:space="0" w:color="auto"/>
            </w:tcBorders>
          </w:tcPr>
          <w:p w14:paraId="3E989253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hb</w:t>
            </w:r>
          </w:p>
        </w:tc>
        <w:tc>
          <w:tcPr>
            <w:tcW w:w="143" w:type="pct"/>
            <w:gridSpan w:val="2"/>
          </w:tcPr>
          <w:p w14:paraId="3E989254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  <w:tc>
          <w:tcPr>
            <w:tcW w:w="798" w:type="pct"/>
            <w:gridSpan w:val="2"/>
            <w:tcBorders>
              <w:top w:val="single" w:sz="2" w:space="0" w:color="auto"/>
            </w:tcBorders>
          </w:tcPr>
          <w:p w14:paraId="3E989255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Reikningsnúmer</w:t>
            </w:r>
          </w:p>
        </w:tc>
        <w:tc>
          <w:tcPr>
            <w:tcW w:w="2070" w:type="pct"/>
            <w:gridSpan w:val="3"/>
          </w:tcPr>
          <w:p w14:paraId="3E989256" w14:textId="77777777" w:rsidR="003C0949" w:rsidRPr="007F0B59" w:rsidRDefault="003C0949" w:rsidP="00F04B43">
            <w:pPr>
              <w:pStyle w:val="Header"/>
              <w:rPr>
                <w:rStyle w:val="Strong"/>
              </w:rPr>
            </w:pPr>
          </w:p>
        </w:tc>
      </w:tr>
      <w:tr w:rsidR="003C0949" w:rsidRPr="007F0B59" w14:paraId="3E98925B" w14:textId="77777777" w:rsidTr="00E303D0">
        <w:trPr>
          <w:trHeight w:val="340"/>
        </w:trPr>
        <w:tc>
          <w:tcPr>
            <w:tcW w:w="1064" w:type="pct"/>
            <w:gridSpan w:val="2"/>
            <w:vAlign w:val="bottom"/>
          </w:tcPr>
          <w:p w14:paraId="3E989258" w14:textId="77777777" w:rsidR="007F0B59" w:rsidRPr="007F0B59" w:rsidRDefault="007F0B59" w:rsidP="00327F5A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Niðurfellingardagur:</w:t>
            </w:r>
          </w:p>
        </w:tc>
        <w:tc>
          <w:tcPr>
            <w:tcW w:w="844" w:type="pct"/>
            <w:gridSpan w:val="4"/>
            <w:tcBorders>
              <w:bottom w:val="single" w:sz="2" w:space="0" w:color="auto"/>
            </w:tcBorders>
            <w:vAlign w:val="bottom"/>
          </w:tcPr>
          <w:p w14:paraId="3E989259" w14:textId="77777777" w:rsidR="007F0B59" w:rsidRPr="007F0B59" w:rsidRDefault="007F0B59" w:rsidP="00327F5A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3092" w:type="pct"/>
            <w:gridSpan w:val="8"/>
            <w:vAlign w:val="bottom"/>
          </w:tcPr>
          <w:p w14:paraId="3E98925A" w14:textId="77777777" w:rsidR="007F0B59" w:rsidRPr="00D00E6A" w:rsidRDefault="007F0B59" w:rsidP="00327F5A">
            <w:pPr>
              <w:pStyle w:val="Header"/>
              <w:rPr>
                <w:rStyle w:val="Strong"/>
              </w:rPr>
            </w:pPr>
            <w:r w:rsidRPr="00D00E6A">
              <w:rPr>
                <w:rStyle w:val="Strong"/>
              </w:rPr>
              <w:t>(Sá dagafjöldi frá því að krafan er stofnuð þar til hún fellur niður</w:t>
            </w:r>
            <w:r w:rsidR="008E6801" w:rsidRPr="00D00E6A">
              <w:rPr>
                <w:rStyle w:val="Strong"/>
              </w:rPr>
              <w:t>. Hámarkstími krafna eru 1440 dagar.</w:t>
            </w:r>
            <w:r w:rsidRPr="00D00E6A">
              <w:rPr>
                <w:rStyle w:val="Strong"/>
              </w:rPr>
              <w:t>)</w:t>
            </w:r>
          </w:p>
        </w:tc>
      </w:tr>
      <w:tr w:rsidR="0036452E" w:rsidRPr="00164143" w14:paraId="3E98925D" w14:textId="77777777" w:rsidTr="00164143">
        <w:trPr>
          <w:trHeight w:val="113"/>
        </w:trPr>
        <w:tc>
          <w:tcPr>
            <w:tcW w:w="5000" w:type="pct"/>
            <w:gridSpan w:val="14"/>
            <w:vAlign w:val="bottom"/>
          </w:tcPr>
          <w:p w14:paraId="3E98925C" w14:textId="77777777" w:rsidR="0036452E" w:rsidRPr="00164143" w:rsidRDefault="0036452E" w:rsidP="00327F5A">
            <w:pPr>
              <w:pStyle w:val="Header"/>
              <w:rPr>
                <w:rStyle w:val="Strong"/>
                <w:sz w:val="12"/>
              </w:rPr>
            </w:pPr>
          </w:p>
        </w:tc>
      </w:tr>
      <w:tr w:rsidR="0025541A" w:rsidRPr="0025541A" w14:paraId="1518F06B" w14:textId="77777777" w:rsidTr="0029658F">
        <w:trPr>
          <w:trHeight w:val="454"/>
        </w:trPr>
        <w:tc>
          <w:tcPr>
            <w:tcW w:w="5000" w:type="pct"/>
            <w:gridSpan w:val="14"/>
            <w:vAlign w:val="bottom"/>
          </w:tcPr>
          <w:p w14:paraId="7AFE9EA4" w14:textId="77777777" w:rsidR="00164143" w:rsidRPr="0025541A" w:rsidRDefault="00164143" w:rsidP="0029658F">
            <w:pPr>
              <w:pStyle w:val="Title"/>
              <w:rPr>
                <w:color w:val="auto"/>
                <w:sz w:val="20"/>
                <w:szCs w:val="20"/>
              </w:rPr>
            </w:pPr>
            <w:r w:rsidRPr="0025541A">
              <w:rPr>
                <w:color w:val="auto"/>
                <w:sz w:val="20"/>
                <w:szCs w:val="20"/>
              </w:rPr>
              <w:t>Prentun og póstsending</w:t>
            </w:r>
          </w:p>
        </w:tc>
      </w:tr>
      <w:tr w:rsidR="006332C5" w:rsidRPr="0025541A" w14:paraId="42F00718" w14:textId="77777777" w:rsidTr="006332C5">
        <w:trPr>
          <w:trHeight w:val="340"/>
        </w:trPr>
        <w:tc>
          <w:tcPr>
            <w:tcW w:w="5000" w:type="pct"/>
            <w:gridSpan w:val="14"/>
            <w:vAlign w:val="bottom"/>
          </w:tcPr>
          <w:p w14:paraId="42B55E50" w14:textId="41397DD7" w:rsidR="006332C5" w:rsidRPr="0025541A" w:rsidRDefault="006332C5" w:rsidP="0029658F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Kröfuhafi sér um prentun og póstsendingu annars birtast kröfur eingöngu í netbanka greiðanda.</w:t>
            </w:r>
          </w:p>
        </w:tc>
      </w:tr>
      <w:tr w:rsidR="00F61AF7" w:rsidRPr="0025541A" w14:paraId="29613FB1" w14:textId="77777777" w:rsidTr="00F61AF7">
        <w:trPr>
          <w:trHeight w:val="340"/>
        </w:trPr>
        <w:tc>
          <w:tcPr>
            <w:tcW w:w="5000" w:type="pct"/>
            <w:gridSpan w:val="14"/>
            <w:vAlign w:val="bottom"/>
          </w:tcPr>
          <w:p w14:paraId="5AB9EA60" w14:textId="65282BFA" w:rsidR="00F61AF7" w:rsidRPr="0025541A" w:rsidRDefault="00F61AF7" w:rsidP="0029658F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RB sér um prentun og póstsendingu</w:t>
            </w:r>
          </w:p>
        </w:tc>
      </w:tr>
      <w:tr w:rsidR="00E303D0" w:rsidRPr="0025541A" w14:paraId="104B39D5" w14:textId="77777777" w:rsidTr="00CA15E6">
        <w:trPr>
          <w:trHeight w:val="680"/>
        </w:trPr>
        <w:tc>
          <w:tcPr>
            <w:tcW w:w="5000" w:type="pct"/>
            <w:gridSpan w:val="14"/>
            <w:vAlign w:val="bottom"/>
          </w:tcPr>
          <w:p w14:paraId="10DBDA88" w14:textId="77777777" w:rsidR="00E303D0" w:rsidRPr="0025541A" w:rsidRDefault="00E303D0" w:rsidP="00CA15E6">
            <w:pPr>
              <w:rPr>
                <w:rFonts w:eastAsiaTheme="majorEastAsia" w:cstheme="majorBidi"/>
                <w:caps/>
                <w:spacing w:val="20"/>
                <w:kern w:val="28"/>
                <w:sz w:val="20"/>
                <w:szCs w:val="20"/>
              </w:rPr>
            </w:pPr>
            <w:r w:rsidRPr="0025541A">
              <w:rPr>
                <w:rFonts w:eastAsiaTheme="majorEastAsia" w:cstheme="majorBidi"/>
                <w:caps/>
                <w:spacing w:val="20"/>
                <w:kern w:val="28"/>
                <w:sz w:val="20"/>
                <w:szCs w:val="20"/>
              </w:rPr>
              <w:t>Tilkynninga- og greiðslugjald bætist við kröfuupphæð þegar greitt er</w:t>
            </w:r>
          </w:p>
          <w:p w14:paraId="5D5B3D4A" w14:textId="77777777" w:rsidR="00E303D0" w:rsidRPr="0025541A" w:rsidRDefault="00E303D0" w:rsidP="00CA15E6">
            <w:pPr>
              <w:rPr>
                <w:rStyle w:val="SubtleEmphasis"/>
                <w:rFonts w:asciiTheme="minorHAnsi" w:hAnsiTheme="minorHAnsi"/>
                <w:iCs w:val="0"/>
                <w:sz w:val="22"/>
              </w:rPr>
            </w:pPr>
            <w:r w:rsidRPr="0025541A">
              <w:rPr>
                <w:rFonts w:eastAsiaTheme="majorEastAsia" w:cstheme="majorBidi"/>
                <w:caps/>
                <w:spacing w:val="20"/>
                <w:kern w:val="28"/>
                <w:sz w:val="14"/>
                <w:szCs w:val="20"/>
              </w:rPr>
              <w:t>(Kröfuhafi fær gjaldið)</w:t>
            </w:r>
          </w:p>
        </w:tc>
      </w:tr>
      <w:tr w:rsidR="00E303D0" w:rsidRPr="0025541A" w14:paraId="67301365" w14:textId="77777777" w:rsidTr="00CA15E6">
        <w:trPr>
          <w:trHeight w:val="340"/>
        </w:trPr>
        <w:tc>
          <w:tcPr>
            <w:tcW w:w="2930" w:type="pct"/>
            <w:gridSpan w:val="11"/>
            <w:vAlign w:val="bottom"/>
          </w:tcPr>
          <w:p w14:paraId="30F6586D" w14:textId="77777777" w:rsidR="00E303D0" w:rsidRPr="0025541A" w:rsidRDefault="00E303D0" w:rsidP="00CA15E6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t>Ef kröfur eru ekki í beingreiðslu (pappír)</w:t>
            </w:r>
          </w:p>
        </w:tc>
        <w:tc>
          <w:tcPr>
            <w:tcW w:w="1035" w:type="pct"/>
            <w:gridSpan w:val="2"/>
            <w:tcBorders>
              <w:bottom w:val="single" w:sz="2" w:space="0" w:color="auto"/>
            </w:tcBorders>
            <w:vAlign w:val="bottom"/>
          </w:tcPr>
          <w:p w14:paraId="75AB2257" w14:textId="77777777" w:rsidR="00E303D0" w:rsidRPr="0025541A" w:rsidRDefault="00E303D0" w:rsidP="00CA15E6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t xml:space="preserve">kr. </w:t>
            </w:r>
            <w:r w:rsidRPr="0025541A">
              <w:rPr>
                <w:rStyle w:val="SubtleEmphasis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25541A">
              <w:rPr>
                <w:rStyle w:val="SubtleEmphasis"/>
              </w:rPr>
              <w:instrText xml:space="preserve"> FORMTEXT </w:instrText>
            </w:r>
            <w:r w:rsidRPr="0025541A">
              <w:rPr>
                <w:rStyle w:val="SubtleEmphasis"/>
              </w:rPr>
            </w:r>
            <w:r w:rsidRPr="0025541A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</w:rPr>
              <w:fldChar w:fldCharType="end"/>
            </w:r>
          </w:p>
        </w:tc>
        <w:tc>
          <w:tcPr>
            <w:tcW w:w="1035" w:type="pct"/>
            <w:vAlign w:val="bottom"/>
          </w:tcPr>
          <w:p w14:paraId="41514E27" w14:textId="77777777" w:rsidR="00E303D0" w:rsidRPr="0025541A" w:rsidRDefault="00E303D0" w:rsidP="00CA15E6">
            <w:pPr>
              <w:pStyle w:val="Header"/>
              <w:rPr>
                <w:rStyle w:val="SubtleEmphasis"/>
              </w:rPr>
            </w:pPr>
          </w:p>
        </w:tc>
      </w:tr>
      <w:tr w:rsidR="00E303D0" w:rsidRPr="0025541A" w14:paraId="5283866B" w14:textId="77777777" w:rsidTr="00CA15E6">
        <w:trPr>
          <w:trHeight w:val="340"/>
        </w:trPr>
        <w:tc>
          <w:tcPr>
            <w:tcW w:w="2930" w:type="pct"/>
            <w:gridSpan w:val="11"/>
            <w:vAlign w:val="bottom"/>
          </w:tcPr>
          <w:p w14:paraId="3A64F2BE" w14:textId="77777777" w:rsidR="00E303D0" w:rsidRPr="0025541A" w:rsidRDefault="00E303D0" w:rsidP="00CA15E6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t>Ef kröfur eru í beingreiðslu (án pappírs)</w:t>
            </w:r>
          </w:p>
        </w:tc>
        <w:tc>
          <w:tcPr>
            <w:tcW w:w="1035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C12FD3" w14:textId="77777777" w:rsidR="00E303D0" w:rsidRPr="0025541A" w:rsidRDefault="00E303D0" w:rsidP="00CA15E6">
            <w:pPr>
              <w:pStyle w:val="Header"/>
              <w:rPr>
                <w:rStyle w:val="Strong"/>
              </w:rPr>
            </w:pPr>
            <w:r w:rsidRPr="0025541A">
              <w:rPr>
                <w:rStyle w:val="SubtleEmphasis"/>
              </w:rPr>
              <w:t xml:space="preserve">kr. </w:t>
            </w:r>
            <w:r w:rsidRPr="0025541A">
              <w:rPr>
                <w:rStyle w:val="SubtleEmphasis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25541A">
              <w:rPr>
                <w:rStyle w:val="SubtleEmphasis"/>
              </w:rPr>
              <w:instrText xml:space="preserve"> FORMTEXT </w:instrText>
            </w:r>
            <w:r w:rsidRPr="0025541A">
              <w:rPr>
                <w:rStyle w:val="SubtleEmphasis"/>
              </w:rPr>
            </w:r>
            <w:r w:rsidRPr="0025541A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  <w:noProof/>
              </w:rPr>
              <w:t> </w:t>
            </w:r>
            <w:r w:rsidRPr="0025541A">
              <w:rPr>
                <w:rStyle w:val="SubtleEmphasis"/>
              </w:rPr>
              <w:fldChar w:fldCharType="end"/>
            </w:r>
          </w:p>
        </w:tc>
        <w:tc>
          <w:tcPr>
            <w:tcW w:w="1035" w:type="pct"/>
            <w:vAlign w:val="bottom"/>
          </w:tcPr>
          <w:p w14:paraId="07549277" w14:textId="77777777" w:rsidR="00E303D0" w:rsidRPr="0025541A" w:rsidRDefault="00E303D0" w:rsidP="00CA15E6">
            <w:pPr>
              <w:pStyle w:val="Header"/>
              <w:rPr>
                <w:rStyle w:val="Strong"/>
              </w:rPr>
            </w:pPr>
          </w:p>
        </w:tc>
      </w:tr>
      <w:tr w:rsidR="00E303D0" w:rsidRPr="0025541A" w14:paraId="07A81FE3" w14:textId="77777777" w:rsidTr="00CA15E6">
        <w:trPr>
          <w:trHeight w:val="340"/>
        </w:trPr>
        <w:tc>
          <w:tcPr>
            <w:tcW w:w="2930" w:type="pct"/>
            <w:gridSpan w:val="11"/>
            <w:vAlign w:val="bottom"/>
          </w:tcPr>
          <w:p w14:paraId="1AC890A3" w14:textId="77777777" w:rsidR="00E303D0" w:rsidRPr="0025541A" w:rsidRDefault="00E303D0" w:rsidP="00CA15E6">
            <w:pPr>
              <w:pStyle w:val="Header"/>
              <w:ind w:right="-526"/>
              <w:jc w:val="both"/>
              <w:rPr>
                <w:rStyle w:val="SubtleEmphasis"/>
              </w:rPr>
            </w:pPr>
            <w:r w:rsidRPr="0025541A">
              <w:rPr>
                <w:rStyle w:val="SubtleEmphasis"/>
              </w:rPr>
              <w:t xml:space="preserve">Greiða þarf kröfu með sama númeri í gjalddagaröð, þá elstu fyrst: </w:t>
            </w:r>
          </w:p>
        </w:tc>
        <w:tc>
          <w:tcPr>
            <w:tcW w:w="2070" w:type="pct"/>
            <w:gridSpan w:val="3"/>
            <w:vAlign w:val="bottom"/>
          </w:tcPr>
          <w:p w14:paraId="1B6187EC" w14:textId="77777777" w:rsidR="00E303D0" w:rsidRPr="0025541A" w:rsidRDefault="00E303D0" w:rsidP="00CA15E6">
            <w:pPr>
              <w:pStyle w:val="Header"/>
              <w:ind w:right="-526"/>
              <w:jc w:val="both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bookmarkEnd w:id="12"/>
            <w:r w:rsidRPr="0025541A">
              <w:rPr>
                <w:rStyle w:val="SubtleEmphasis"/>
              </w:rPr>
              <w:t xml:space="preserve">  Já    </w:t>
            </w:r>
            <w:r w:rsidRPr="0025541A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bookmarkEnd w:id="13"/>
            <w:r w:rsidRPr="0025541A">
              <w:rPr>
                <w:rStyle w:val="SubtleEmphasis"/>
              </w:rPr>
              <w:t xml:space="preserve">  Nei</w:t>
            </w:r>
          </w:p>
        </w:tc>
      </w:tr>
      <w:tr w:rsidR="00E303D0" w:rsidRPr="0025541A" w14:paraId="3C9D5297" w14:textId="77777777" w:rsidTr="00CA15E6">
        <w:trPr>
          <w:trHeight w:val="340"/>
        </w:trPr>
        <w:tc>
          <w:tcPr>
            <w:tcW w:w="2930" w:type="pct"/>
            <w:gridSpan w:val="11"/>
            <w:vAlign w:val="bottom"/>
          </w:tcPr>
          <w:p w14:paraId="57DBEEF3" w14:textId="77777777" w:rsidR="00E303D0" w:rsidRPr="0025541A" w:rsidRDefault="00E303D0" w:rsidP="00CA15E6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t xml:space="preserve">Innáborganir leyfðar: </w:t>
            </w:r>
          </w:p>
        </w:tc>
        <w:tc>
          <w:tcPr>
            <w:tcW w:w="2070" w:type="pct"/>
            <w:gridSpan w:val="3"/>
            <w:vAlign w:val="bottom"/>
          </w:tcPr>
          <w:p w14:paraId="2B6AD5EB" w14:textId="77777777" w:rsidR="00E303D0" w:rsidRPr="0025541A" w:rsidRDefault="00E303D0" w:rsidP="00CA15E6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Já    </w:t>
            </w:r>
            <w:r w:rsidRPr="0025541A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Nei</w:t>
            </w:r>
          </w:p>
        </w:tc>
      </w:tr>
      <w:tr w:rsidR="0025541A" w:rsidRPr="0025541A" w14:paraId="3E989260" w14:textId="77777777" w:rsidTr="0069070F">
        <w:trPr>
          <w:trHeight w:val="340"/>
        </w:trPr>
        <w:tc>
          <w:tcPr>
            <w:tcW w:w="2930" w:type="pct"/>
            <w:gridSpan w:val="11"/>
            <w:vAlign w:val="bottom"/>
          </w:tcPr>
          <w:p w14:paraId="0502ED10" w14:textId="77777777" w:rsidR="00FC41B0" w:rsidRDefault="00FC41B0" w:rsidP="003C0949">
            <w:pPr>
              <w:pStyle w:val="Title"/>
              <w:rPr>
                <w:color w:val="auto"/>
                <w:sz w:val="20"/>
                <w:szCs w:val="20"/>
              </w:rPr>
            </w:pPr>
          </w:p>
          <w:p w14:paraId="3E98925E" w14:textId="0AB96276" w:rsidR="00E94D61" w:rsidRPr="0025541A" w:rsidRDefault="00E94D61" w:rsidP="003C0949">
            <w:pPr>
              <w:pStyle w:val="Title"/>
              <w:rPr>
                <w:rStyle w:val="Strong"/>
                <w:color w:val="auto"/>
                <w:sz w:val="20"/>
              </w:rPr>
            </w:pPr>
            <w:r w:rsidRPr="0025541A">
              <w:rPr>
                <w:color w:val="auto"/>
                <w:sz w:val="20"/>
                <w:szCs w:val="20"/>
              </w:rPr>
              <w:t>ÚTSENDING ÍTREKUNARBRÉFS</w:t>
            </w:r>
          </w:p>
        </w:tc>
        <w:tc>
          <w:tcPr>
            <w:tcW w:w="2070" w:type="pct"/>
            <w:gridSpan w:val="3"/>
            <w:vAlign w:val="bottom"/>
          </w:tcPr>
          <w:p w14:paraId="3E98925F" w14:textId="77777777" w:rsidR="00E94D61" w:rsidRPr="0025541A" w:rsidRDefault="00E94D61" w:rsidP="00327F5A">
            <w:pPr>
              <w:pStyle w:val="Header"/>
              <w:rPr>
                <w:rStyle w:val="Strong"/>
                <w:sz w:val="20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Já    </w:t>
            </w:r>
            <w:r w:rsidRPr="0025541A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Nei</w:t>
            </w:r>
          </w:p>
        </w:tc>
      </w:tr>
      <w:tr w:rsidR="0025541A" w:rsidRPr="0025541A" w14:paraId="3E989262" w14:textId="77777777" w:rsidTr="00293F30">
        <w:trPr>
          <w:trHeight w:val="454"/>
        </w:trPr>
        <w:tc>
          <w:tcPr>
            <w:tcW w:w="5000" w:type="pct"/>
            <w:gridSpan w:val="14"/>
            <w:vAlign w:val="bottom"/>
          </w:tcPr>
          <w:p w14:paraId="3E989261" w14:textId="77777777" w:rsidR="0036452E" w:rsidRPr="0025541A" w:rsidRDefault="0036452E" w:rsidP="00EA190D">
            <w:pPr>
              <w:pStyle w:val="Title"/>
              <w:rPr>
                <w:color w:val="auto"/>
                <w:sz w:val="20"/>
                <w:szCs w:val="20"/>
              </w:rPr>
            </w:pPr>
            <w:r w:rsidRPr="0025541A">
              <w:rPr>
                <w:color w:val="auto"/>
                <w:sz w:val="20"/>
                <w:szCs w:val="20"/>
              </w:rPr>
              <w:t xml:space="preserve">Tegundir </w:t>
            </w:r>
            <w:r w:rsidR="00EA190D" w:rsidRPr="0025541A">
              <w:rPr>
                <w:color w:val="auto"/>
                <w:sz w:val="20"/>
                <w:szCs w:val="20"/>
              </w:rPr>
              <w:t>ítrekana</w:t>
            </w:r>
          </w:p>
        </w:tc>
      </w:tr>
      <w:tr w:rsidR="0025541A" w:rsidRPr="0025541A" w14:paraId="3E989266" w14:textId="77777777" w:rsidTr="00BA502F">
        <w:trPr>
          <w:trHeight w:val="340"/>
        </w:trPr>
        <w:tc>
          <w:tcPr>
            <w:tcW w:w="2930" w:type="pct"/>
            <w:gridSpan w:val="11"/>
            <w:vAlign w:val="bottom"/>
          </w:tcPr>
          <w:p w14:paraId="3E989263" w14:textId="77777777" w:rsidR="0036452E" w:rsidRPr="0025541A" w:rsidRDefault="0036452E" w:rsidP="004E1DAF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Ábending um ógreiddan greiðsluseðil</w:t>
            </w:r>
          </w:p>
        </w:tc>
        <w:tc>
          <w:tcPr>
            <w:tcW w:w="500" w:type="pct"/>
            <w:tcBorders>
              <w:bottom w:val="single" w:sz="2" w:space="0" w:color="auto"/>
            </w:tcBorders>
            <w:vAlign w:val="bottom"/>
          </w:tcPr>
          <w:p w14:paraId="3E989264" w14:textId="77777777" w:rsidR="0036452E" w:rsidRPr="0025541A" w:rsidRDefault="0036452E" w:rsidP="00293F30">
            <w:pPr>
              <w:pStyle w:val="Header"/>
              <w:jc w:val="right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5541A">
              <w:rPr>
                <w:rStyle w:val="SubtleEmphasis"/>
              </w:rPr>
              <w:instrText xml:space="preserve"> FORMTEXT </w:instrText>
            </w:r>
            <w:r w:rsidRPr="0025541A">
              <w:rPr>
                <w:rStyle w:val="SubtleEmphasis"/>
              </w:rPr>
            </w:r>
            <w:r w:rsidRPr="0025541A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fldChar w:fldCharType="end"/>
            </w:r>
          </w:p>
        </w:tc>
        <w:tc>
          <w:tcPr>
            <w:tcW w:w="1570" w:type="pct"/>
            <w:gridSpan w:val="2"/>
            <w:vAlign w:val="bottom"/>
          </w:tcPr>
          <w:p w14:paraId="3E989265" w14:textId="77777777" w:rsidR="0036452E" w:rsidRPr="0025541A" w:rsidRDefault="0036452E" w:rsidP="004E1DAF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t>dögum eftir eindaga</w:t>
            </w:r>
          </w:p>
        </w:tc>
      </w:tr>
      <w:tr w:rsidR="0025541A" w:rsidRPr="0025541A" w14:paraId="3E98926A" w14:textId="77777777" w:rsidTr="00BA502F">
        <w:trPr>
          <w:trHeight w:val="340"/>
        </w:trPr>
        <w:tc>
          <w:tcPr>
            <w:tcW w:w="2930" w:type="pct"/>
            <w:gridSpan w:val="11"/>
            <w:vAlign w:val="bottom"/>
          </w:tcPr>
          <w:p w14:paraId="3E989267" w14:textId="77777777" w:rsidR="003C0949" w:rsidRPr="0025541A" w:rsidRDefault="003C0949" w:rsidP="004E1DAF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Innheimtuviðvörun</w:t>
            </w:r>
          </w:p>
        </w:tc>
        <w:tc>
          <w:tcPr>
            <w:tcW w:w="500" w:type="pct"/>
            <w:tcBorders>
              <w:bottom w:val="single" w:sz="2" w:space="0" w:color="auto"/>
            </w:tcBorders>
            <w:vAlign w:val="bottom"/>
          </w:tcPr>
          <w:p w14:paraId="3E989268" w14:textId="77777777" w:rsidR="003C0949" w:rsidRPr="0025541A" w:rsidRDefault="003C0949" w:rsidP="00293F30">
            <w:pPr>
              <w:pStyle w:val="Header"/>
              <w:jc w:val="right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5541A">
              <w:rPr>
                <w:rStyle w:val="SubtleEmphasis"/>
              </w:rPr>
              <w:instrText xml:space="preserve"> FORMTEXT </w:instrText>
            </w:r>
            <w:r w:rsidRPr="0025541A">
              <w:rPr>
                <w:rStyle w:val="SubtleEmphasis"/>
              </w:rPr>
            </w:r>
            <w:r w:rsidRPr="0025541A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t> </w:t>
            </w:r>
            <w:r w:rsidRPr="0025541A">
              <w:rPr>
                <w:rStyle w:val="SubtleEmphasis"/>
              </w:rPr>
              <w:fldChar w:fldCharType="end"/>
            </w:r>
          </w:p>
        </w:tc>
        <w:tc>
          <w:tcPr>
            <w:tcW w:w="1570" w:type="pct"/>
            <w:gridSpan w:val="2"/>
            <w:vAlign w:val="bottom"/>
          </w:tcPr>
          <w:p w14:paraId="3E989269" w14:textId="77777777" w:rsidR="00EA190D" w:rsidRPr="0025541A" w:rsidRDefault="003C0949" w:rsidP="004E1DAF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t>dögum eftir eindaga</w:t>
            </w:r>
          </w:p>
        </w:tc>
      </w:tr>
      <w:tr w:rsidR="0025541A" w:rsidRPr="0025541A" w14:paraId="3E989280" w14:textId="77777777" w:rsidTr="00E756EB">
        <w:trPr>
          <w:trHeight w:val="454"/>
        </w:trPr>
        <w:tc>
          <w:tcPr>
            <w:tcW w:w="5000" w:type="pct"/>
            <w:gridSpan w:val="14"/>
            <w:vAlign w:val="bottom"/>
          </w:tcPr>
          <w:p w14:paraId="3E98927F" w14:textId="77777777" w:rsidR="00E756EB" w:rsidRPr="0025541A" w:rsidRDefault="00E756EB" w:rsidP="0036452E">
            <w:pPr>
              <w:pStyle w:val="Title"/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</w:pPr>
            <w:r w:rsidRPr="0025541A"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  <w:t>VANSKILAGJALD*,**</w:t>
            </w:r>
          </w:p>
        </w:tc>
      </w:tr>
      <w:tr w:rsidR="0025541A" w:rsidRPr="0025541A" w14:paraId="3E989286" w14:textId="77777777" w:rsidTr="00E303D0">
        <w:trPr>
          <w:trHeight w:val="340"/>
        </w:trPr>
        <w:tc>
          <w:tcPr>
            <w:tcW w:w="700" w:type="pct"/>
            <w:vAlign w:val="bottom"/>
          </w:tcPr>
          <w:p w14:paraId="3E989281" w14:textId="77777777" w:rsidR="0069070F" w:rsidRPr="0025541A" w:rsidRDefault="0069070F" w:rsidP="0069070F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25541A">
              <w:rPr>
                <w:sz w:val="18"/>
                <w:szCs w:val="18"/>
              </w:rPr>
              <w:t xml:space="preserve">Vanskilagjald kr. </w:t>
            </w:r>
          </w:p>
        </w:tc>
        <w:tc>
          <w:tcPr>
            <w:tcW w:w="713" w:type="pct"/>
            <w:gridSpan w:val="2"/>
            <w:tcBorders>
              <w:bottom w:val="single" w:sz="2" w:space="0" w:color="auto"/>
            </w:tcBorders>
            <w:vAlign w:val="bottom"/>
          </w:tcPr>
          <w:p w14:paraId="3E989282" w14:textId="77777777" w:rsidR="0069070F" w:rsidRPr="0025541A" w:rsidRDefault="0069070F" w:rsidP="00720C55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25541A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4" w:name="Text35"/>
            <w:r w:rsidRPr="0025541A">
              <w:rPr>
                <w:sz w:val="18"/>
                <w:szCs w:val="18"/>
              </w:rPr>
              <w:instrText xml:space="preserve"> FORMTEXT </w:instrText>
            </w:r>
            <w:r w:rsidRPr="0025541A">
              <w:rPr>
                <w:sz w:val="18"/>
                <w:szCs w:val="18"/>
              </w:rPr>
            </w:r>
            <w:r w:rsidRPr="0025541A">
              <w:rPr>
                <w:sz w:val="18"/>
                <w:szCs w:val="18"/>
              </w:rPr>
              <w:fldChar w:fldCharType="separate"/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15" w:type="pct"/>
            <w:gridSpan w:val="5"/>
            <w:vAlign w:val="bottom"/>
          </w:tcPr>
          <w:p w14:paraId="3E989283" w14:textId="77777777" w:rsidR="0069070F" w:rsidRPr="0025541A" w:rsidRDefault="0069070F" w:rsidP="00720C55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25541A">
              <w:rPr>
                <w:sz w:val="18"/>
                <w:szCs w:val="18"/>
              </w:rPr>
              <w:t>leggst við kröfu</w:t>
            </w:r>
          </w:p>
        </w:tc>
        <w:tc>
          <w:tcPr>
            <w:tcW w:w="501" w:type="pct"/>
            <w:gridSpan w:val="2"/>
            <w:tcBorders>
              <w:bottom w:val="single" w:sz="2" w:space="0" w:color="auto"/>
            </w:tcBorders>
            <w:vAlign w:val="bottom"/>
          </w:tcPr>
          <w:p w14:paraId="3E989284" w14:textId="77777777" w:rsidR="0069070F" w:rsidRPr="0025541A" w:rsidRDefault="0069070F" w:rsidP="00720C55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25541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25541A">
              <w:rPr>
                <w:sz w:val="18"/>
                <w:szCs w:val="18"/>
              </w:rPr>
              <w:instrText xml:space="preserve"> FORMTEXT </w:instrText>
            </w:r>
            <w:r w:rsidRPr="0025541A">
              <w:rPr>
                <w:sz w:val="18"/>
                <w:szCs w:val="18"/>
              </w:rPr>
            </w:r>
            <w:r w:rsidRPr="0025541A">
              <w:rPr>
                <w:sz w:val="18"/>
                <w:szCs w:val="18"/>
              </w:rPr>
              <w:fldChar w:fldCharType="separate"/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noProof/>
                <w:sz w:val="18"/>
                <w:szCs w:val="18"/>
              </w:rPr>
              <w:t> </w:t>
            </w:r>
            <w:r w:rsidRPr="0025541A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370" w:type="pct"/>
            <w:gridSpan w:val="4"/>
            <w:vAlign w:val="bottom"/>
          </w:tcPr>
          <w:p w14:paraId="3E989285" w14:textId="77777777" w:rsidR="0069070F" w:rsidRPr="0025541A" w:rsidRDefault="0069070F" w:rsidP="00720C55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25541A">
              <w:rPr>
                <w:sz w:val="18"/>
                <w:szCs w:val="18"/>
              </w:rPr>
              <w:t>dögum eftir eindaga.</w:t>
            </w:r>
          </w:p>
        </w:tc>
      </w:tr>
      <w:tr w:rsidR="0025541A" w:rsidRPr="0025541A" w14:paraId="3E989288" w14:textId="77777777" w:rsidTr="0069070F">
        <w:trPr>
          <w:trHeight w:val="340"/>
        </w:trPr>
        <w:tc>
          <w:tcPr>
            <w:tcW w:w="5000" w:type="pct"/>
            <w:gridSpan w:val="14"/>
            <w:vAlign w:val="bottom"/>
          </w:tcPr>
          <w:p w14:paraId="3E989287" w14:textId="77777777" w:rsidR="0069070F" w:rsidRPr="0025541A" w:rsidRDefault="0069070F" w:rsidP="0069070F">
            <w:pPr>
              <w:jc w:val="both"/>
              <w:rPr>
                <w:rFonts w:ascii="Calibri" w:hAnsi="Calibri"/>
                <w:iCs/>
                <w:sz w:val="14"/>
              </w:rPr>
            </w:pPr>
            <w:r w:rsidRPr="0025541A">
              <w:rPr>
                <w:rStyle w:val="SubtleEmphasis"/>
                <w:sz w:val="14"/>
              </w:rPr>
              <w:t>Vanskilagjald leggst á miðað við eindaga og er að hámarki 950 kr., sbr. innheimtulög nr. 95/2008 og reglugerð um hámarksfjárhæð innheimtukostnaðar o.fl. nr.37/2009.</w:t>
            </w:r>
          </w:p>
        </w:tc>
      </w:tr>
      <w:tr w:rsidR="00E303D0" w:rsidRPr="0025541A" w14:paraId="3E98928A" w14:textId="77777777" w:rsidTr="00E756EB">
        <w:trPr>
          <w:trHeight w:val="340"/>
        </w:trPr>
        <w:tc>
          <w:tcPr>
            <w:tcW w:w="5000" w:type="pct"/>
            <w:gridSpan w:val="14"/>
            <w:vAlign w:val="bottom"/>
          </w:tcPr>
          <w:p w14:paraId="3E989289" w14:textId="1846B107" w:rsidR="00E303D0" w:rsidRPr="0025541A" w:rsidRDefault="00E303D0" w:rsidP="00E303D0">
            <w:pPr>
              <w:rPr>
                <w:rStyle w:val="SubtleEmphasis"/>
                <w:rFonts w:asciiTheme="minorHAnsi" w:hAnsiTheme="minorHAnsi"/>
                <w:b/>
                <w:iCs w:val="0"/>
                <w:szCs w:val="18"/>
              </w:rPr>
            </w:pPr>
            <w:r w:rsidRPr="00E756EB">
              <w:rPr>
                <w:b/>
                <w:sz w:val="18"/>
                <w:szCs w:val="18"/>
              </w:rPr>
              <w:t>Ath.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E79CA">
              <w:rPr>
                <w:b/>
                <w:sz w:val="18"/>
                <w:szCs w:val="18"/>
              </w:rPr>
              <w:t>að einungis er hægt að bæta vanskilagjaldi við kröfu ef innheimtuviðvörun er send út samhliða</w:t>
            </w:r>
            <w:r w:rsidRPr="00E756EB">
              <w:rPr>
                <w:b/>
                <w:sz w:val="18"/>
                <w:szCs w:val="18"/>
              </w:rPr>
              <w:t>.</w:t>
            </w:r>
          </w:p>
        </w:tc>
      </w:tr>
      <w:tr w:rsidR="0025541A" w:rsidRPr="0025541A" w14:paraId="387355EC" w14:textId="77777777" w:rsidTr="0029658F">
        <w:trPr>
          <w:trHeight w:val="510"/>
        </w:trPr>
        <w:tc>
          <w:tcPr>
            <w:tcW w:w="2930" w:type="pct"/>
            <w:gridSpan w:val="11"/>
            <w:vAlign w:val="bottom"/>
          </w:tcPr>
          <w:p w14:paraId="575479B9" w14:textId="77777777" w:rsidR="00164143" w:rsidRPr="0025541A" w:rsidRDefault="00164143" w:rsidP="0029658F">
            <w:pPr>
              <w:pStyle w:val="Title"/>
              <w:rPr>
                <w:rStyle w:val="SubtleEmphasis"/>
              </w:rPr>
            </w:pPr>
            <w:r w:rsidRPr="0025541A"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  <w:t xml:space="preserve">DRÁTTARVEXTIR </w:t>
            </w:r>
            <w:r w:rsidRPr="0025541A">
              <w:rPr>
                <w:rStyle w:val="SubtleEmphasis"/>
                <w:rFonts w:eastAsiaTheme="minorHAnsi" w:cstheme="minorBidi"/>
                <w:caps w:val="0"/>
                <w:spacing w:val="0"/>
                <w:kern w:val="0"/>
                <w:szCs w:val="24"/>
              </w:rPr>
              <w:t>(reiknast frá gjalddaga ef greitt er eftir eindaga)</w:t>
            </w:r>
            <w:r w:rsidRPr="0025541A"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2070" w:type="pct"/>
            <w:gridSpan w:val="3"/>
            <w:vAlign w:val="bottom"/>
          </w:tcPr>
          <w:p w14:paraId="5ECEA3EB" w14:textId="77777777" w:rsidR="00164143" w:rsidRPr="0025541A" w:rsidRDefault="00164143" w:rsidP="0029658F">
            <w:pPr>
              <w:pStyle w:val="Header"/>
              <w:rPr>
                <w:rStyle w:val="SubtleEmphasis"/>
              </w:rPr>
            </w:pPr>
            <w:r w:rsidRPr="0025541A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Já    </w:t>
            </w:r>
            <w:r w:rsidRPr="0025541A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1A">
              <w:rPr>
                <w:rStyle w:val="SubtleEmphasis"/>
              </w:rPr>
              <w:instrText xml:space="preserve"> FORMCHECKBOX </w:instrText>
            </w:r>
            <w:r w:rsidR="00E949EC">
              <w:rPr>
                <w:rStyle w:val="SubtleEmphasis"/>
              </w:rPr>
            </w:r>
            <w:r w:rsidR="00E949EC">
              <w:rPr>
                <w:rStyle w:val="SubtleEmphasis"/>
              </w:rPr>
              <w:fldChar w:fldCharType="separate"/>
            </w:r>
            <w:r w:rsidRPr="0025541A">
              <w:rPr>
                <w:rStyle w:val="SubtleEmphasis"/>
              </w:rPr>
              <w:fldChar w:fldCharType="end"/>
            </w:r>
            <w:r w:rsidRPr="0025541A">
              <w:rPr>
                <w:rStyle w:val="SubtleEmphasis"/>
              </w:rPr>
              <w:t xml:space="preserve">  Nei</w:t>
            </w:r>
          </w:p>
        </w:tc>
      </w:tr>
      <w:bookmarkEnd w:id="3"/>
    </w:tbl>
    <w:p w14:paraId="3E989293" w14:textId="77777777" w:rsidR="007F0B59" w:rsidRDefault="007F0B59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E989295" w14:textId="77777777" w:rsidR="00E94D61" w:rsidRPr="00E70F27" w:rsidRDefault="00E94D61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E989296" w14:textId="77777777" w:rsidR="007F0B59" w:rsidRPr="007F0B59" w:rsidRDefault="007F0B59" w:rsidP="007F0B59">
      <w:pPr>
        <w:pStyle w:val="Header"/>
        <w:ind w:right="-59"/>
        <w:jc w:val="both"/>
        <w:rPr>
          <w:rStyle w:val="SubtleEmphasis"/>
        </w:rPr>
      </w:pPr>
      <w:r w:rsidRPr="007F0B59">
        <w:rPr>
          <w:rStyle w:val="SubtleEmphasis"/>
        </w:rPr>
        <w:t xml:space="preserve">Viðskiptavinum Arion banka gefst kostur á að birta móttakendum greiðsluseðla og reikninga í netbönkum. Nánari upplýsingar veitir </w:t>
      </w:r>
      <w:r w:rsidR="00BA748E">
        <w:rPr>
          <w:rStyle w:val="SubtleEmphasis"/>
        </w:rPr>
        <w:t>þjónustuver í síma 444-7000.</w:t>
      </w:r>
    </w:p>
    <w:p w14:paraId="3E989297" w14:textId="77777777" w:rsidR="007F0B59" w:rsidRDefault="007F0B59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E989299" w14:textId="77777777" w:rsidR="003C0949" w:rsidRPr="00E70F27" w:rsidRDefault="003C0949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E98929A" w14:textId="77777777" w:rsidR="007F0B59" w:rsidRDefault="007F0B59" w:rsidP="007F0B59">
      <w:pPr>
        <w:pStyle w:val="Header"/>
        <w:ind w:right="-526"/>
        <w:jc w:val="both"/>
        <w:rPr>
          <w:rStyle w:val="SubtleEmphasis"/>
        </w:rPr>
      </w:pPr>
      <w:r w:rsidRPr="007F0B59">
        <w:rPr>
          <w:rStyle w:val="SubtleEmphasis"/>
        </w:rPr>
        <w:t xml:space="preserve">* </w:t>
      </w:r>
      <w:hyperlink r:id="rId14" w:history="1">
        <w:r w:rsidRPr="00500FD0">
          <w:rPr>
            <w:rStyle w:val="Hyperlink"/>
            <w:rFonts w:ascii="Calibri" w:hAnsi="Calibri"/>
            <w:sz w:val="18"/>
          </w:rPr>
          <w:t>Innheimtulög nr. 95/2008</w:t>
        </w:r>
      </w:hyperlink>
    </w:p>
    <w:p w14:paraId="3E98929B" w14:textId="77777777" w:rsidR="00CE631C" w:rsidRPr="007F0B59" w:rsidRDefault="00CE631C" w:rsidP="007F0B59">
      <w:pPr>
        <w:pStyle w:val="Header"/>
        <w:ind w:right="-526"/>
        <w:jc w:val="both"/>
        <w:rPr>
          <w:rStyle w:val="SubtleEmphasis"/>
        </w:rPr>
      </w:pPr>
      <w:r w:rsidRPr="007F0B59">
        <w:rPr>
          <w:rStyle w:val="SubtleEmphasis"/>
        </w:rPr>
        <w:t>**</w:t>
      </w:r>
      <w:r>
        <w:rPr>
          <w:rStyle w:val="SubtleEmphasis"/>
        </w:rPr>
        <w:t xml:space="preserve"> </w:t>
      </w:r>
      <w:hyperlink r:id="rId15" w:history="1">
        <w:r w:rsidRPr="007B39EB">
          <w:rPr>
            <w:rStyle w:val="Hyperlink"/>
            <w:rFonts w:ascii="Calibri" w:hAnsi="Calibri"/>
            <w:sz w:val="18"/>
          </w:rPr>
          <w:t>Reglugerð um hámarksfjárhæð innheimtukostnaðar o.fl</w:t>
        </w:r>
        <w:r w:rsidR="007B39EB" w:rsidRPr="007B39EB">
          <w:rPr>
            <w:rStyle w:val="Hyperlink"/>
            <w:rFonts w:ascii="Calibri" w:hAnsi="Calibri"/>
            <w:sz w:val="18"/>
          </w:rPr>
          <w:t xml:space="preserve"> nr. 37/2009</w:t>
        </w:r>
      </w:hyperlink>
      <w:r w:rsidRPr="007B39EB">
        <w:rPr>
          <w:rStyle w:val="SubtleEmphasis"/>
          <w:iCs w:val="0"/>
        </w:rPr>
        <w:t>.</w:t>
      </w:r>
    </w:p>
    <w:p w14:paraId="3E98929C" w14:textId="77777777" w:rsidR="007F0B59" w:rsidRPr="00E70F27" w:rsidRDefault="007F0B59" w:rsidP="007F0B59">
      <w:pPr>
        <w:pStyle w:val="Header"/>
        <w:rPr>
          <w:rStyle w:val="SubtleEmphasis"/>
          <w:sz w:val="8"/>
          <w:szCs w:val="8"/>
        </w:rPr>
      </w:pPr>
    </w:p>
    <w:p w14:paraId="3E98929D" w14:textId="77777777" w:rsidR="003C0949" w:rsidRDefault="007F0B59" w:rsidP="007F0B59">
      <w:pPr>
        <w:pStyle w:val="Header"/>
        <w:jc w:val="both"/>
        <w:rPr>
          <w:rStyle w:val="SubtleEmphasis"/>
        </w:rPr>
      </w:pPr>
      <w:r w:rsidRPr="007F0B59">
        <w:rPr>
          <w:rStyle w:val="SubtleEmphasis"/>
        </w:rPr>
        <w:t xml:space="preserve">Þjónustugjöld vegna innheimtuþjónustunnar eru skuldfærð af </w:t>
      </w:r>
      <w:r w:rsidR="00EA190D">
        <w:rPr>
          <w:rStyle w:val="SubtleEmphasis"/>
        </w:rPr>
        <w:t xml:space="preserve">skuldfærslureikningi </w:t>
      </w:r>
      <w:r w:rsidRPr="007F0B59">
        <w:rPr>
          <w:rStyle w:val="SubtleEmphasis"/>
        </w:rPr>
        <w:t xml:space="preserve">15. hvers mánaðar. </w:t>
      </w:r>
    </w:p>
    <w:p w14:paraId="3E98929E" w14:textId="77777777" w:rsidR="007F0B59" w:rsidRPr="007F0B59" w:rsidRDefault="007F0B59" w:rsidP="007F0B59">
      <w:pPr>
        <w:pStyle w:val="Header"/>
        <w:jc w:val="both"/>
        <w:rPr>
          <w:rStyle w:val="SubtleEmphasis"/>
        </w:rPr>
      </w:pPr>
      <w:r w:rsidRPr="007F0B59">
        <w:rPr>
          <w:rStyle w:val="SubtleEmphasis"/>
        </w:rPr>
        <w:t>Falli 15. dagur mánaðar á helgi eða lokaðan bankadag er þóknunin skuldfærð næsta virka dag á eftir.</w:t>
      </w:r>
    </w:p>
    <w:p w14:paraId="3E98929F" w14:textId="77777777" w:rsidR="007F0B59" w:rsidRDefault="007F0B59" w:rsidP="007F0B59">
      <w:pPr>
        <w:pStyle w:val="Header"/>
        <w:jc w:val="both"/>
        <w:rPr>
          <w:rStyle w:val="SubtleEmphasis"/>
        </w:rPr>
      </w:pPr>
      <w:r w:rsidRPr="007F0B59">
        <w:rPr>
          <w:rStyle w:val="SubtleEmphasis"/>
        </w:rPr>
        <w:t>Öllum breytingum verður að skila til bankans fyrir 18. hvers mánaðar.</w:t>
      </w:r>
    </w:p>
    <w:p w14:paraId="3E9892A0" w14:textId="77777777" w:rsidR="007F0B59" w:rsidRPr="00E70F27" w:rsidRDefault="007F0B59" w:rsidP="007F0B59">
      <w:pPr>
        <w:pStyle w:val="Header"/>
        <w:jc w:val="both"/>
        <w:rPr>
          <w:rStyle w:val="SubtleEmphasis"/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02"/>
        <w:gridCol w:w="2462"/>
      </w:tblGrid>
      <w:tr w:rsidR="007F0B59" w:rsidRPr="00BE1FB7" w14:paraId="3E9892A3" w14:textId="77777777" w:rsidTr="007F0B59">
        <w:tc>
          <w:tcPr>
            <w:tcW w:w="3752" w:type="pct"/>
          </w:tcPr>
          <w:p w14:paraId="3E9892A1" w14:textId="77777777" w:rsidR="007F0B59" w:rsidRPr="00BE1FB7" w:rsidRDefault="007F0B59" w:rsidP="00327F5A">
            <w:pPr>
              <w:pStyle w:val="Header"/>
              <w:ind w:right="-526"/>
              <w:jc w:val="both"/>
              <w:rPr>
                <w:rFonts w:ascii="Verdana" w:hAnsi="Verdana"/>
              </w:rPr>
            </w:pPr>
          </w:p>
        </w:tc>
        <w:tc>
          <w:tcPr>
            <w:tcW w:w="1248" w:type="pct"/>
            <w:tcBorders>
              <w:top w:val="single" w:sz="2" w:space="0" w:color="auto"/>
            </w:tcBorders>
          </w:tcPr>
          <w:p w14:paraId="3E9892A2" w14:textId="77777777" w:rsidR="007F0B59" w:rsidRPr="00BE1FB7" w:rsidRDefault="007F0B59" w:rsidP="00327F5A">
            <w:pPr>
              <w:pStyle w:val="Header"/>
              <w:ind w:right="-526"/>
              <w:jc w:val="both"/>
              <w:rPr>
                <w:rFonts w:ascii="Verdana" w:hAnsi="Verdana"/>
                <w:sz w:val="14"/>
                <w:szCs w:val="14"/>
              </w:rPr>
            </w:pPr>
            <w:r w:rsidRPr="00BE1FB7">
              <w:rPr>
                <w:rFonts w:ascii="Verdana" w:hAnsi="Verdana"/>
                <w:sz w:val="14"/>
                <w:szCs w:val="14"/>
              </w:rPr>
              <w:t>Upphafsstafir viðskiptavinar</w:t>
            </w:r>
          </w:p>
        </w:tc>
      </w:tr>
    </w:tbl>
    <w:p w14:paraId="3E9892A4" w14:textId="77777777" w:rsidR="007F0B59" w:rsidRDefault="007F0B59" w:rsidP="007F0B59">
      <w:pPr>
        <w:pStyle w:val="Header"/>
        <w:ind w:right="-5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5541A" w:rsidRPr="0025541A" w14:paraId="0540880B" w14:textId="77777777" w:rsidTr="00165C98">
        <w:tc>
          <w:tcPr>
            <w:tcW w:w="3835" w:type="pct"/>
          </w:tcPr>
          <w:p w14:paraId="243BE0F1" w14:textId="77777777" w:rsidR="0025541A" w:rsidRPr="0025541A" w:rsidRDefault="0025541A" w:rsidP="00165C9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25541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Samningur</w:t>
            </w:r>
          </w:p>
        </w:tc>
        <w:tc>
          <w:tcPr>
            <w:tcW w:w="1165" w:type="pct"/>
          </w:tcPr>
          <w:p w14:paraId="28314569" w14:textId="77777777" w:rsidR="0025541A" w:rsidRPr="0025541A" w:rsidRDefault="0025541A" w:rsidP="00165C9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25541A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1" behindDoc="1" locked="0" layoutInCell="1" allowOverlap="1" wp14:anchorId="3950930A" wp14:editId="6325ABF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541A" w:rsidRPr="0025541A" w14:paraId="127BFAC8" w14:textId="77777777" w:rsidTr="00165C98">
        <w:trPr>
          <w:trHeight w:val="397"/>
        </w:trPr>
        <w:tc>
          <w:tcPr>
            <w:tcW w:w="3835" w:type="pct"/>
            <w:vAlign w:val="center"/>
          </w:tcPr>
          <w:p w14:paraId="17AFB8A2" w14:textId="77777777" w:rsidR="0025541A" w:rsidRPr="0025541A" w:rsidRDefault="0025541A" w:rsidP="00165C98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25541A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innheimtuþjónustu</w:t>
            </w:r>
          </w:p>
        </w:tc>
        <w:tc>
          <w:tcPr>
            <w:tcW w:w="1165" w:type="pct"/>
            <w:vAlign w:val="bottom"/>
          </w:tcPr>
          <w:p w14:paraId="4B4ADFE4" w14:textId="77777777" w:rsidR="0025541A" w:rsidRPr="0025541A" w:rsidRDefault="0025541A" w:rsidP="00165C98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E9892A8" w14:textId="77777777" w:rsidR="00293F30" w:rsidRDefault="00293F30" w:rsidP="007F0B59">
      <w:pPr>
        <w:pStyle w:val="Title"/>
        <w:rPr>
          <w:rStyle w:val="SubtleEmphasis"/>
          <w:rFonts w:eastAsiaTheme="minorHAnsi" w:cstheme="minorBidi"/>
          <w:caps w:val="0"/>
          <w:spacing w:val="0"/>
          <w:kern w:val="0"/>
          <w:sz w:val="8"/>
          <w:szCs w:val="8"/>
        </w:rPr>
      </w:pPr>
    </w:p>
    <w:p w14:paraId="3E9892A9" w14:textId="77777777" w:rsidR="00C43477" w:rsidRPr="00C43477" w:rsidRDefault="00C43477" w:rsidP="007F0B59">
      <w:pPr>
        <w:pStyle w:val="Title"/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</w:pPr>
      <w:r w:rsidRPr="00C43477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t>Nafn kröfuhafa</w: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t xml:space="preserve">: </w: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fldChar w:fldCharType="begin"/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instrText xml:space="preserve"> REF  NAFN1 \h \* charformat </w:instrTex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fldChar w:fldCharType="separate"/>
      </w:r>
      <w:r w:rsidR="0025541A" w:rsidRPr="0025541A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t xml:space="preserve">     </w: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fldChar w:fldCharType="end"/>
      </w:r>
    </w:p>
    <w:p w14:paraId="37421711" w14:textId="77777777" w:rsidR="0025541A" w:rsidRPr="0025541A" w:rsidRDefault="0025541A" w:rsidP="007F0B59">
      <w:pPr>
        <w:pStyle w:val="Title"/>
        <w:rPr>
          <w:color w:val="auto"/>
          <w:sz w:val="4"/>
          <w:szCs w:val="4"/>
        </w:rPr>
      </w:pPr>
    </w:p>
    <w:p w14:paraId="3E9892AB" w14:textId="77777777" w:rsidR="007F0B59" w:rsidRPr="0025541A" w:rsidRDefault="007F0B59" w:rsidP="007F0B59">
      <w:pPr>
        <w:pStyle w:val="Title"/>
        <w:rPr>
          <w:color w:val="auto"/>
          <w:sz w:val="20"/>
          <w:szCs w:val="20"/>
        </w:rPr>
      </w:pPr>
      <w:r w:rsidRPr="0025541A">
        <w:rPr>
          <w:color w:val="auto"/>
          <w:sz w:val="20"/>
          <w:szCs w:val="20"/>
        </w:rPr>
        <w:t>skilmálar</w:t>
      </w:r>
    </w:p>
    <w:p w14:paraId="3E9892AC" w14:textId="77777777" w:rsidR="007F0B59" w:rsidRPr="007F0B59" w:rsidRDefault="007F0B59" w:rsidP="007F0B59">
      <w:pPr>
        <w:numPr>
          <w:ilvl w:val="0"/>
          <w:numId w:val="1"/>
        </w:numPr>
        <w:ind w:left="426" w:hanging="426"/>
        <w:rPr>
          <w:sz w:val="16"/>
          <w:szCs w:val="16"/>
        </w:rPr>
      </w:pPr>
      <w:r w:rsidRPr="007F0B59">
        <w:rPr>
          <w:sz w:val="16"/>
          <w:szCs w:val="16"/>
        </w:rPr>
        <w:t>Kröfuhafi getur nýtt Innheimtuþjónustu bankans til að innheimta kröfur með eftirfarandi hætti:</w:t>
      </w:r>
    </w:p>
    <w:p w14:paraId="3E9892AD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Beingreiðslur - kröfur sem greiðendur hafa óskað eftir að séu skuldfærðar af reikningum sínum með sjálfvirkum hætti - greiðslulína er birt í Netbanka. </w:t>
      </w:r>
    </w:p>
    <w:p w14:paraId="3E9892AE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Greiðsluseðill er sendur til greiðanda - greiðslulína er birt í Netbanka. </w:t>
      </w:r>
    </w:p>
    <w:p w14:paraId="3E9892AF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Greiðslulína fyrir kröfu er einungis birt í netbanka en enginn greiðsluseðill er sendur. </w:t>
      </w:r>
    </w:p>
    <w:p w14:paraId="3E9892B0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Valgreiðslukröfur - fyrir frjáls framlög greiðanda. Greiðandi getur fellt niður slíkar kröfur niður að vild. Kröfuhafi greiðir kostnað við slíkar niðurfellingar. </w:t>
      </w:r>
    </w:p>
    <w:p w14:paraId="3E9892B1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Rafræn birting á greiðsluseðlum og reikningum er aukaþjónusta og fellur ekki undir samning þennan. </w:t>
      </w:r>
    </w:p>
    <w:p w14:paraId="3E9892B2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getur nýtt viðmót Netbankans á vefsetri bankans - Innheimtukröfur - til að vinna með kröfur. Kröfuhafi getur einnig nýtt beintengingar Arion banka til að vinna með kröfur. Um notkun á beintengingum og Innheimtuþjónustu gilda sömu skilmálar og fyrir skilmála Netbanka Arion banka enda telst Innheimtuþjónusta bankans vera hluti af honum. </w:t>
      </w:r>
    </w:p>
    <w:p w14:paraId="3E9892B3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kynnir greiðendum sínum þær greiðsluleiðir og Innheimtuþjónustu sem eru í boði. </w:t>
      </w:r>
    </w:p>
    <w:p w14:paraId="3E9892B4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ábyrgð á því að bókhalds- og tölvukerfi hans geti nýtt Innheimtuþjónustu bankans eins og kveðið er á um í samningi þessum og að innsend gögn séu rétt. Jafnframt ber kröfuhafi ábyrgð á aðgangsstýringum í Netbanka og færslum sem starfsmenn kröfuhafa framkvæma. </w:t>
      </w:r>
    </w:p>
    <w:p w14:paraId="3E9892B5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Bankinn getur tekið að sér að skrá kröfur fyrir kröfuhafa eða kröfuhafi sér sjálfur um kröfuskráningu. Jafnframt getur bankinn tekið að sér prentun greiðsluseðla óski kröfuhafi þess. </w:t>
      </w:r>
    </w:p>
    <w:p w14:paraId="3E9892B6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sér til þess að krafa sé stofnuð a.m.k. 10 dögum fyrir eindaga svo tryggt sé að greiðandi fái greiðsluseðil eða aðrar upplýsingar um kröfuna tímanlega. </w:t>
      </w:r>
    </w:p>
    <w:p w14:paraId="3E9892B7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alltaf ábyrgð á öllum upplýsingum, s.s. fjárhæð, gjalddögum, öðrum kostnaði o.fl., um kröfur jafnvel þó að bankinn sjái um skráningu og stofnun kröfu. Allar breytingar á stofnun, breytingu og niðurfellingu á kröfum eru á ábyrgð kröfuhafa. </w:t>
      </w:r>
    </w:p>
    <w:p w14:paraId="3E9892B8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ábyrgist að kröfur sem hann stofnar eða lætur stofna séu réttmætar. Sé stofnað til kröfu eða krafna vegna reikninga skulu kröfur vera í samræmi við þá. </w:t>
      </w:r>
    </w:p>
    <w:p w14:paraId="3E9892B9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fulla ábyrgð á því að fylgikröfur við aðalkröfu, eins og til dæmis tilkynninga- og greiðslugjald (seðilgjald), vanskilakostnaður o.s.frv. séu í öllum tilfellum réttmætar og í samræmi við lög og reglur. </w:t>
      </w:r>
    </w:p>
    <w:p w14:paraId="3E9892BA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fulla ábyrgð á þeim innheimtuferli sem kröfur hans fara í, jafnvel þó að bankinn setji það upp fyrir kröfuhafa. </w:t>
      </w:r>
    </w:p>
    <w:p w14:paraId="3E9892BB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Kröfuhafa ber samkvæmt </w:t>
      </w:r>
      <w:r w:rsidRPr="00A65233">
        <w:rPr>
          <w:sz w:val="16"/>
          <w:szCs w:val="16"/>
        </w:rPr>
        <w:t xml:space="preserve">innheimtulögum og reglugerð um hámarksfjárhæð innheimtukostnaðar skylda til að senda innheimtuviðvörun á greiðanda kröfunnar. Kröfuhafi ber fulla ábyrgð á því að innheimtuviðvörunin komist til skila til greiðanda þó að bankinn sjái um prentun og póstsendingu hennar. </w:t>
      </w:r>
    </w:p>
    <w:p w14:paraId="3E9892BC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Kröfuhafi staðfestir að hann hefur kynnt sér </w:t>
      </w:r>
      <w:r w:rsidR="00CE631C" w:rsidRPr="00A65233">
        <w:rPr>
          <w:sz w:val="16"/>
          <w:szCs w:val="16"/>
        </w:rPr>
        <w:t>tilmæli viðskiptaráðherra til fjármálafyrirtækja um seðilgjöld frá 19. febrúar 2008</w:t>
      </w:r>
      <w:r w:rsidRPr="00A65233">
        <w:rPr>
          <w:sz w:val="16"/>
          <w:szCs w:val="16"/>
        </w:rPr>
        <w:t xml:space="preserve">, </w:t>
      </w:r>
      <w:r w:rsidR="00CE631C" w:rsidRPr="00A65233">
        <w:rPr>
          <w:sz w:val="16"/>
          <w:szCs w:val="16"/>
        </w:rPr>
        <w:t xml:space="preserve">Innheimtulög sem tóku gildi 1. janúar 2009 </w:t>
      </w:r>
      <w:r w:rsidRPr="00A65233">
        <w:rPr>
          <w:sz w:val="16"/>
          <w:szCs w:val="16"/>
        </w:rPr>
        <w:t xml:space="preserve">og reglugerð um hámarksfjárhæð </w:t>
      </w:r>
      <w:r w:rsidR="00CE631C" w:rsidRPr="00A65233">
        <w:rPr>
          <w:sz w:val="16"/>
          <w:szCs w:val="16"/>
        </w:rPr>
        <w:t>innheimtukostnaðar sem tóku gildi 1. febrúar 2009</w:t>
      </w:r>
      <w:r w:rsidRPr="00A65233">
        <w:rPr>
          <w:sz w:val="16"/>
          <w:szCs w:val="16"/>
        </w:rPr>
        <w:t xml:space="preserve">. Hann ábyrgist og staðfestir að innheimta á hans vegum er í fullu samræmi við fyrrgreind tilmæli, reglugerð og lög. </w:t>
      </w:r>
    </w:p>
    <w:p w14:paraId="3E9892BD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Athygli er vakin á því að allar færslur sem framkvæmdar eru í Netbanka bankans og Innheimtuþjónustu bankans eru á ábyrgð viðskiptavina og kröfuhafa. </w:t>
      </w:r>
    </w:p>
    <w:p w14:paraId="3E9892BE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Sjái bankinn um prentun er greiðsluseðill sendur næsta virka dag eftir að krafa er stofnuð </w:t>
      </w:r>
    </w:p>
    <w:p w14:paraId="0E0BF8B3" w14:textId="2A4DAB93" w:rsidR="001D1577" w:rsidRPr="000A5EA6" w:rsidRDefault="007F0B59" w:rsidP="001D1577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>Bankinn áskilur sér rétt til að fella niður eða breyta fyrirvaralaust kröfum eða innheimtuferlum sem eru að mati bankans ekki réttmætar eða í ósamræmi við samning þennan,</w:t>
      </w:r>
      <w:r w:rsidR="00CB5529">
        <w:rPr>
          <w:sz w:val="16"/>
          <w:szCs w:val="16"/>
        </w:rPr>
        <w:t xml:space="preserve"> </w:t>
      </w:r>
      <w:r w:rsidR="00CE631C" w:rsidRPr="00A65233">
        <w:rPr>
          <w:sz w:val="16"/>
          <w:szCs w:val="16"/>
        </w:rPr>
        <w:t>tilmæli viðskiptaráðherra til fjármálafyrirtækja um seðilgjöld frá 19. febrúar 2008</w:t>
      </w:r>
      <w:r w:rsidR="001D1577">
        <w:rPr>
          <w:sz w:val="16"/>
          <w:szCs w:val="16"/>
        </w:rPr>
        <w:t>, i</w:t>
      </w:r>
      <w:r w:rsidR="00CE631C" w:rsidRPr="00A65233">
        <w:rPr>
          <w:sz w:val="16"/>
          <w:szCs w:val="16"/>
        </w:rPr>
        <w:t xml:space="preserve">nnheimtulög nr. 95/2008 </w:t>
      </w:r>
      <w:r w:rsidRPr="00A65233">
        <w:rPr>
          <w:sz w:val="16"/>
          <w:szCs w:val="16"/>
        </w:rPr>
        <w:t xml:space="preserve">eða </w:t>
      </w:r>
      <w:r w:rsidRPr="000A5EA6">
        <w:rPr>
          <w:sz w:val="16"/>
          <w:szCs w:val="16"/>
        </w:rPr>
        <w:t xml:space="preserve">reglugerð um </w:t>
      </w:r>
      <w:r w:rsidR="00CE631C" w:rsidRPr="000A5EA6">
        <w:rPr>
          <w:sz w:val="16"/>
          <w:szCs w:val="16"/>
        </w:rPr>
        <w:t xml:space="preserve">hámarksfjárhæð innheimtukostnaðar nr. 37/2009 </w:t>
      </w:r>
      <w:r w:rsidRPr="000A5EA6">
        <w:rPr>
          <w:sz w:val="16"/>
          <w:szCs w:val="16"/>
        </w:rPr>
        <w:t xml:space="preserve">. </w:t>
      </w:r>
    </w:p>
    <w:p w14:paraId="169E66C5" w14:textId="6CA9F376" w:rsidR="001D1577" w:rsidRPr="000A5EA6" w:rsidRDefault="001D1577" w:rsidP="001D1577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bookmarkStart w:id="16" w:name="_Hlk164339796"/>
      <w:bookmarkStart w:id="17" w:name="_Hlk164422754"/>
      <w:r w:rsidRPr="000A5EA6">
        <w:rPr>
          <w:sz w:val="16"/>
          <w:szCs w:val="16"/>
        </w:rPr>
        <w:t xml:space="preserve">Bankinn áskilur sér allan rétt til að: a)  ákvarða einhliða </w:t>
      </w:r>
      <w:bookmarkEnd w:id="17"/>
      <w:r w:rsidRPr="000A5EA6">
        <w:rPr>
          <w:sz w:val="16"/>
          <w:szCs w:val="16"/>
        </w:rPr>
        <w:t>þá þjónustu sem kerfið veitir á hverjum tíma og auka hana eða minnka,  b) rjúfa aðgang að upplýsingum um stundarsakir fyrirvaralaust og án tilkynningar, ef þörf krefur vegna uppfærslu skráa, breytinga kerfisins o.þ.h.</w:t>
      </w:r>
      <w:r w:rsidR="00202D25" w:rsidRPr="000A5EA6">
        <w:rPr>
          <w:sz w:val="16"/>
          <w:szCs w:val="16"/>
        </w:rPr>
        <w:t xml:space="preserve"> </w:t>
      </w:r>
    </w:p>
    <w:bookmarkEnd w:id="16"/>
    <w:p w14:paraId="3E9892C0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Bankinn ber ekki ábyrgð á því ef ekki er hægt að senda út greiðsluseðil eða skuldfæra reikning vegna kröfu með nægilegum fyrirvara fyrir eindaga vegna þess að krafa hefur verið stofnuð of seint. </w:t>
      </w:r>
    </w:p>
    <w:p w14:paraId="3E9892C1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Bankinn er aldrei aðili að eða ber neina ábyrgð á deilum á milli kröfuhafa og greiðanda. </w:t>
      </w:r>
    </w:p>
    <w:p w14:paraId="3E9892C2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Bankinn er ekki ábyrgur vegna tjóns sem verður vegna aðstæðna eða atburðum sem hann hefur ekki á valdi sínu, svo sem verkföllum, náttúruhamförum, eldsvoða, truflun á orkuveitum, fjarskiptum eða samgöngum, stjórnvaldsaðgerðum, hryðjuverkum, aðgerðum þriðja aðila og öðrum slíkum aðstæðum (force majure). </w:t>
      </w:r>
    </w:p>
    <w:p w14:paraId="3E9892C3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Kröfuhafi greiðir bankanum fyrir þjónustuliði samkvæmt gildandi verðskrá bankans eins og hún er á hverjum tíma. Verðskrá bankans er aðgengileg á vefsetri hans. </w:t>
      </w:r>
    </w:p>
    <w:p w14:paraId="3E9892C4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Þóknun er skuldfærð af reikningi kröfuhafa 15. hvers mánaðar með sjálfvirkum hætti. Falli 15. dagur mánaðar á helgi eða lokaðan bankadag er þóknun skuldfærð næsta virka dag á eftir. </w:t>
      </w:r>
    </w:p>
    <w:p w14:paraId="3E9892C5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Samningurinn er í gildi þar til að honum er sagt upp. Samningurinn er uppsegjanlegur af hálfu beggja aðila með eins mánaðar fyrirvara. Tilkynning um uppsögn skal send aðilum með sannanlegum hætti. </w:t>
      </w:r>
    </w:p>
    <w:p w14:paraId="3E9892C6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Hvorum samningsaðila er heimilt að rifta samningum án fyrirvara sé um vanefndir að ræða. Það teljast t.d. vanefndir á samningi þessum ef samningsaðilar brjóta gegn skuldbindingum sínum samkvæmt samningi þessum. Jafnframt telst það til vanefnda á samningnum ef gert er árangurslaust fjárnám hjá kröfuhafa, óskað nauðungarsölu á eignum eða ef bú þess er tekið til gjaldþrotaskipta. </w:t>
      </w:r>
    </w:p>
    <w:p w14:paraId="78E99C57" w14:textId="77777777" w:rsidR="00202D25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Verði </w:t>
      </w:r>
      <w:bookmarkStart w:id="18" w:name="_Hlk164423398"/>
      <w:r w:rsidR="00202D25" w:rsidRPr="000A5EA6">
        <w:rPr>
          <w:sz w:val="16"/>
          <w:szCs w:val="16"/>
        </w:rPr>
        <w:t xml:space="preserve">samningum sagt upp, honum rift eða felldur niður einhliða skal ekki stofna nýjar kröfur í Innheimtuþjónustu bankans. Þær kröfur sem eru í Innheimtuþjónustu við uppsögn skulu felldar niður að liðnum uppsagnarfresti en verði samningnum rift eða hann felldur niður eru kröfur felldar niður án fyrirvara. </w:t>
      </w:r>
      <w:bookmarkEnd w:id="18"/>
    </w:p>
    <w:p w14:paraId="3E9892C8" w14:textId="737209A9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>Bankinn ber ekki ábyrgð á framkvæmd annarra banka eða sparisjóða varðandi beingreiðslur.</w:t>
      </w:r>
    </w:p>
    <w:p w14:paraId="3E9892C9" w14:textId="77777777" w:rsidR="007F0B59" w:rsidRPr="000A5EA6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Bankinn ber ekki ábyrgð á því hvernig aðrir bankar og sparisjóðir birta eða meðhöndla kröfur frá kröfuhafa. </w:t>
      </w:r>
    </w:p>
    <w:p w14:paraId="18DBDC26" w14:textId="77777777" w:rsidR="005F4D5E" w:rsidRPr="000A5EA6" w:rsidRDefault="007F0B59" w:rsidP="005F4D5E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Aðilar geta hvor um sig óskað eftir endurskoðun samningsins á samningstíma. </w:t>
      </w:r>
    </w:p>
    <w:p w14:paraId="51020E2C" w14:textId="76771FB4" w:rsidR="005F4D5E" w:rsidRDefault="005F4D5E" w:rsidP="005F4D5E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>Bankinn áskilur sér rétt til að fella skilmála þessa úr gildi, bæta við þá eða breyta hvenær sem er.</w:t>
      </w:r>
    </w:p>
    <w:p w14:paraId="1A0D2571" w14:textId="77777777" w:rsidR="000A5EA6" w:rsidRDefault="000A5EA6" w:rsidP="000A5EA6">
      <w:pPr>
        <w:ind w:left="426"/>
        <w:jc w:val="both"/>
        <w:rPr>
          <w:sz w:val="16"/>
          <w:szCs w:val="16"/>
        </w:rPr>
      </w:pPr>
    </w:p>
    <w:p w14:paraId="71F1EB37" w14:textId="77777777" w:rsidR="000A5EA6" w:rsidRDefault="000A5EA6" w:rsidP="000A5EA6">
      <w:pPr>
        <w:ind w:left="426"/>
        <w:jc w:val="both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02"/>
        <w:gridCol w:w="2462"/>
      </w:tblGrid>
      <w:tr w:rsidR="000A5EA6" w:rsidRPr="00BE1FB7" w14:paraId="0E9F4758" w14:textId="77777777" w:rsidTr="00A25749">
        <w:tc>
          <w:tcPr>
            <w:tcW w:w="3752" w:type="pct"/>
          </w:tcPr>
          <w:p w14:paraId="28943F3F" w14:textId="77777777" w:rsidR="000A5EA6" w:rsidRPr="00BE1FB7" w:rsidRDefault="000A5EA6" w:rsidP="00A25749">
            <w:pPr>
              <w:pStyle w:val="Header"/>
              <w:ind w:right="-526"/>
              <w:jc w:val="both"/>
              <w:rPr>
                <w:rFonts w:ascii="Verdana" w:hAnsi="Verdana"/>
              </w:rPr>
            </w:pPr>
          </w:p>
        </w:tc>
        <w:tc>
          <w:tcPr>
            <w:tcW w:w="1248" w:type="pct"/>
            <w:tcBorders>
              <w:top w:val="single" w:sz="2" w:space="0" w:color="auto"/>
            </w:tcBorders>
          </w:tcPr>
          <w:p w14:paraId="5A4B1CDE" w14:textId="77777777" w:rsidR="000A5EA6" w:rsidRPr="00BE1FB7" w:rsidRDefault="000A5EA6" w:rsidP="00A25749">
            <w:pPr>
              <w:pStyle w:val="Header"/>
              <w:ind w:right="-526"/>
              <w:jc w:val="both"/>
              <w:rPr>
                <w:rFonts w:ascii="Verdana" w:hAnsi="Verdana"/>
                <w:sz w:val="14"/>
                <w:szCs w:val="14"/>
              </w:rPr>
            </w:pPr>
            <w:r w:rsidRPr="00BE1FB7">
              <w:rPr>
                <w:rFonts w:ascii="Verdana" w:hAnsi="Verdana"/>
                <w:sz w:val="14"/>
                <w:szCs w:val="14"/>
              </w:rPr>
              <w:t>Upphafsstafir viðskiptavinar</w:t>
            </w:r>
          </w:p>
        </w:tc>
      </w:tr>
    </w:tbl>
    <w:p w14:paraId="60C27E68" w14:textId="47FD2F86" w:rsidR="000A5EA6" w:rsidRDefault="000A5EA6" w:rsidP="000A5EA6">
      <w:pPr>
        <w:ind w:left="426"/>
        <w:jc w:val="both"/>
        <w:rPr>
          <w:sz w:val="16"/>
          <w:szCs w:val="16"/>
        </w:rPr>
      </w:pPr>
    </w:p>
    <w:p w14:paraId="57151440" w14:textId="77777777" w:rsidR="000A5EA6" w:rsidRDefault="000A5EA6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0A5EA6" w:rsidRPr="0025541A" w14:paraId="116283E5" w14:textId="77777777" w:rsidTr="00A25749">
        <w:tc>
          <w:tcPr>
            <w:tcW w:w="3835" w:type="pct"/>
          </w:tcPr>
          <w:p w14:paraId="0263B979" w14:textId="77777777" w:rsidR="000A5EA6" w:rsidRPr="0025541A" w:rsidRDefault="000A5EA6" w:rsidP="00A25749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25541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Samningur</w:t>
            </w:r>
          </w:p>
        </w:tc>
        <w:tc>
          <w:tcPr>
            <w:tcW w:w="1165" w:type="pct"/>
          </w:tcPr>
          <w:p w14:paraId="46CF14EC" w14:textId="77777777" w:rsidR="000A5EA6" w:rsidRPr="0025541A" w:rsidRDefault="000A5EA6" w:rsidP="00A25749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25541A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2" behindDoc="1" locked="0" layoutInCell="1" allowOverlap="1" wp14:anchorId="4994E6EB" wp14:editId="706B98FD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37090305" name="Picture 43709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5EA6" w:rsidRPr="0025541A" w14:paraId="0855406A" w14:textId="77777777" w:rsidTr="00A25749">
        <w:trPr>
          <w:trHeight w:val="397"/>
        </w:trPr>
        <w:tc>
          <w:tcPr>
            <w:tcW w:w="3835" w:type="pct"/>
            <w:vAlign w:val="center"/>
          </w:tcPr>
          <w:p w14:paraId="0B6AB0BA" w14:textId="77777777" w:rsidR="000A5EA6" w:rsidRPr="0025541A" w:rsidRDefault="000A5EA6" w:rsidP="00A25749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25541A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innheimtuþjónustu</w:t>
            </w:r>
          </w:p>
        </w:tc>
        <w:tc>
          <w:tcPr>
            <w:tcW w:w="1165" w:type="pct"/>
            <w:vAlign w:val="bottom"/>
          </w:tcPr>
          <w:p w14:paraId="170A7C75" w14:textId="77777777" w:rsidR="000A5EA6" w:rsidRPr="0025541A" w:rsidRDefault="000A5EA6" w:rsidP="00A25749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799F29C" w14:textId="77777777" w:rsidR="000A5EA6" w:rsidRDefault="000A5EA6" w:rsidP="000A5EA6">
      <w:pPr>
        <w:ind w:left="426"/>
        <w:jc w:val="both"/>
        <w:rPr>
          <w:sz w:val="16"/>
          <w:szCs w:val="16"/>
        </w:rPr>
      </w:pPr>
    </w:p>
    <w:p w14:paraId="3E85A83F" w14:textId="77777777" w:rsidR="000A5EA6" w:rsidRPr="000A5EA6" w:rsidRDefault="000A5EA6" w:rsidP="000A5EA6">
      <w:pPr>
        <w:ind w:left="426"/>
        <w:jc w:val="both"/>
        <w:rPr>
          <w:sz w:val="16"/>
          <w:szCs w:val="16"/>
        </w:rPr>
      </w:pPr>
    </w:p>
    <w:p w14:paraId="2B1D2787" w14:textId="77777777" w:rsidR="001D1577" w:rsidRPr="000A5EA6" w:rsidRDefault="007F0B59" w:rsidP="001D1577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>Samningur þessi skal gerður í tveimur samhljóða eintökum og heldur hvor aðili sínu eintaki.</w:t>
      </w:r>
    </w:p>
    <w:p w14:paraId="5E2BA236" w14:textId="626236A8" w:rsidR="001D1577" w:rsidRPr="000A5EA6" w:rsidRDefault="001D1577" w:rsidP="00202D25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 xml:space="preserve">Bankinn áskilur sér rétt til að fella samning þennan niður, einhliða og án fyrirvara, sé grunur á að innheimtukerfi bankans sé notað í tengslum við peningaþvætti, fjármögnun hryðjuverka eða greiðslur samræmast ekki, að mati bankans lögum, reglum og góðum viðskiptaháttum. </w:t>
      </w:r>
      <w:bookmarkStart w:id="19" w:name="_Hlk164423426"/>
      <w:r w:rsidR="00202D25" w:rsidRPr="000A5EA6">
        <w:rPr>
          <w:sz w:val="16"/>
          <w:szCs w:val="16"/>
        </w:rPr>
        <w:t>Það sama gildir ef bankinn segir upp viðskiptasambandi bankans og kröfuhafa í kjölfar endurmats á áhættu tengdu viðskiptasambandinu</w:t>
      </w:r>
      <w:bookmarkEnd w:id="19"/>
      <w:r w:rsidR="00202D25" w:rsidRPr="000A5EA6">
        <w:rPr>
          <w:sz w:val="16"/>
          <w:szCs w:val="16"/>
        </w:rPr>
        <w:t>.</w:t>
      </w:r>
    </w:p>
    <w:p w14:paraId="4AC16315" w14:textId="39180D1A" w:rsidR="005F4D5E" w:rsidRPr="000A5EA6" w:rsidRDefault="007F0B59" w:rsidP="005F4D5E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ind w:left="426" w:hanging="426"/>
        <w:jc w:val="both"/>
        <w:rPr>
          <w:sz w:val="16"/>
          <w:szCs w:val="16"/>
        </w:rPr>
      </w:pPr>
      <w:r w:rsidRPr="000A5EA6">
        <w:rPr>
          <w:sz w:val="16"/>
          <w:szCs w:val="16"/>
        </w:rPr>
        <w:t>Rísi mál út af samningi þessum skal reka það fyrir Héraðsdómi Reykjavíkur.</w:t>
      </w:r>
    </w:p>
    <w:p w14:paraId="2A43EB68" w14:textId="77777777" w:rsidR="000A5EA6" w:rsidRDefault="000A5EA6" w:rsidP="00861B3D">
      <w:pPr>
        <w:pStyle w:val="Header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3B99BE83" w14:textId="77777777" w:rsidR="00861B3D" w:rsidRPr="005F4D5E" w:rsidRDefault="00861B3D" w:rsidP="00861B3D">
      <w:pPr>
        <w:pStyle w:val="Header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3E9892CD" w14:textId="77777777" w:rsidR="00D3532C" w:rsidRPr="00293F30" w:rsidRDefault="00D3532C" w:rsidP="00D3532C">
      <w:pPr>
        <w:pStyle w:val="Header"/>
        <w:tabs>
          <w:tab w:val="clear" w:pos="4536"/>
          <w:tab w:val="clear" w:pos="9072"/>
        </w:tabs>
        <w:jc w:val="both"/>
        <w:rPr>
          <w:rStyle w:val="SubtleEmphasis"/>
          <w:rFonts w:asciiTheme="minorHAnsi" w:hAnsiTheme="minorHAnsi"/>
          <w:iCs w:val="0"/>
          <w:sz w:val="8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0"/>
        <w:gridCol w:w="284"/>
        <w:gridCol w:w="4790"/>
      </w:tblGrid>
      <w:tr w:rsidR="007F0B59" w:rsidRPr="007F0B59" w14:paraId="3E9892D1" w14:textId="77777777" w:rsidTr="00327F5A">
        <w:tc>
          <w:tcPr>
            <w:tcW w:w="2428" w:type="pct"/>
          </w:tcPr>
          <w:p w14:paraId="3E9892CE" w14:textId="77777777" w:rsidR="007F0B59" w:rsidRPr="007F0B59" w:rsidRDefault="007F0B59" w:rsidP="00327F5A">
            <w:pPr>
              <w:pStyle w:val="Header"/>
              <w:ind w:right="-526"/>
              <w:rPr>
                <w:rStyle w:val="SubtleEmphasis"/>
              </w:rPr>
            </w:pPr>
          </w:p>
        </w:tc>
        <w:tc>
          <w:tcPr>
            <w:tcW w:w="144" w:type="pct"/>
          </w:tcPr>
          <w:p w14:paraId="3E9892CF" w14:textId="77777777" w:rsidR="007F0B59" w:rsidRPr="007F0B59" w:rsidRDefault="007F0B59" w:rsidP="00327F5A">
            <w:pPr>
              <w:pStyle w:val="Header"/>
              <w:ind w:right="-526"/>
              <w:rPr>
                <w:rStyle w:val="SubtleEmphasis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3E9892D0" w14:textId="77777777" w:rsidR="007F0B59" w:rsidRPr="007F0B59" w:rsidRDefault="007F0B59" w:rsidP="00327F5A">
            <w:pPr>
              <w:pStyle w:val="Header"/>
              <w:ind w:right="-526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20"/>
          </w:p>
        </w:tc>
      </w:tr>
      <w:tr w:rsidR="007F0B59" w:rsidRPr="007F0B59" w14:paraId="3E9892D5" w14:textId="77777777" w:rsidTr="00327F5A">
        <w:tc>
          <w:tcPr>
            <w:tcW w:w="2428" w:type="pct"/>
          </w:tcPr>
          <w:p w14:paraId="3E9892D2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144" w:type="pct"/>
          </w:tcPr>
          <w:p w14:paraId="3E9892D3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3E9892D4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  <w:r w:rsidRPr="007F0B59">
              <w:rPr>
                <w:rStyle w:val="Strong"/>
              </w:rPr>
              <w:t>Staður og dagsetning</w:t>
            </w:r>
          </w:p>
        </w:tc>
      </w:tr>
      <w:tr w:rsidR="007F0B59" w:rsidRPr="00ED3BC3" w14:paraId="3E9892D9" w14:textId="77777777" w:rsidTr="00327F5A">
        <w:trPr>
          <w:trHeight w:val="454"/>
        </w:trPr>
        <w:tc>
          <w:tcPr>
            <w:tcW w:w="2428" w:type="pct"/>
          </w:tcPr>
          <w:p w14:paraId="3E9892D6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" w:type="pct"/>
          </w:tcPr>
          <w:p w14:paraId="3E9892D7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3E9892D8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</w:tr>
      <w:tr w:rsidR="007F0B59" w:rsidRPr="007F0B59" w14:paraId="3E9892DD" w14:textId="77777777" w:rsidTr="00327F5A">
        <w:tc>
          <w:tcPr>
            <w:tcW w:w="2428" w:type="pct"/>
          </w:tcPr>
          <w:p w14:paraId="3E9892DA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144" w:type="pct"/>
          </w:tcPr>
          <w:p w14:paraId="3E9892DB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3E9892DC" w14:textId="6CAE3F3A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  <w:r w:rsidRPr="007F0B59">
              <w:rPr>
                <w:rStyle w:val="Strong"/>
              </w:rPr>
              <w:t>Undirskrift kröfuhafa</w:t>
            </w:r>
            <w:r w:rsidR="00861B3D">
              <w:rPr>
                <w:rStyle w:val="Strong"/>
              </w:rPr>
              <w:t xml:space="preserve"> </w:t>
            </w:r>
            <w:r w:rsidR="00861B3D">
              <w:rPr>
                <w:rStyle w:val="Strong"/>
              </w:rPr>
              <w:fldChar w:fldCharType="begin"/>
            </w:r>
            <w:r w:rsidR="00861B3D">
              <w:rPr>
                <w:rStyle w:val="Strong"/>
              </w:rPr>
              <w:instrText xml:space="preserve"> REF  NAFN1 \h \* charformat </w:instrText>
            </w:r>
            <w:r w:rsidR="00861B3D">
              <w:rPr>
                <w:rStyle w:val="Strong"/>
              </w:rPr>
            </w:r>
            <w:r w:rsidR="00861B3D">
              <w:rPr>
                <w:rStyle w:val="Strong"/>
              </w:rPr>
              <w:fldChar w:fldCharType="separate"/>
            </w:r>
            <w:r w:rsidR="00861B3D" w:rsidRPr="00861B3D">
              <w:rPr>
                <w:rStyle w:val="Strong"/>
              </w:rPr>
              <w:t xml:space="preserve">     </w:t>
            </w:r>
            <w:r w:rsidR="00861B3D">
              <w:rPr>
                <w:rStyle w:val="Strong"/>
              </w:rPr>
              <w:fldChar w:fldCharType="end"/>
            </w:r>
          </w:p>
        </w:tc>
      </w:tr>
      <w:tr w:rsidR="007F0B59" w:rsidRPr="00ED3BC3" w14:paraId="3E9892E1" w14:textId="77777777" w:rsidTr="00327F5A">
        <w:trPr>
          <w:trHeight w:val="454"/>
        </w:trPr>
        <w:tc>
          <w:tcPr>
            <w:tcW w:w="2428" w:type="pct"/>
          </w:tcPr>
          <w:p w14:paraId="3E9892DE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" w:type="pct"/>
          </w:tcPr>
          <w:p w14:paraId="3E9892DF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3E9892E0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</w:tr>
      <w:tr w:rsidR="007F0B59" w:rsidRPr="007F0B59" w14:paraId="3E9892E5" w14:textId="77777777" w:rsidTr="00327F5A">
        <w:tc>
          <w:tcPr>
            <w:tcW w:w="2428" w:type="pct"/>
          </w:tcPr>
          <w:p w14:paraId="3E9892E2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144" w:type="pct"/>
          </w:tcPr>
          <w:p w14:paraId="3E9892E3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3E9892E4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  <w:r w:rsidRPr="007F0B59">
              <w:rPr>
                <w:rStyle w:val="Strong"/>
              </w:rPr>
              <w:t>F.h. Arion banka hf.</w:t>
            </w:r>
          </w:p>
        </w:tc>
      </w:tr>
    </w:tbl>
    <w:p w14:paraId="3E9892E6" w14:textId="77777777" w:rsidR="007F0B59" w:rsidRPr="0025541A" w:rsidRDefault="007F0B59" w:rsidP="007F0B59">
      <w:pPr>
        <w:pStyle w:val="NoSpacing"/>
        <w:rPr>
          <w:rStyle w:val="SubtleEmphasis"/>
          <w:sz w:val="2"/>
          <w:szCs w:val="2"/>
        </w:rPr>
      </w:pPr>
    </w:p>
    <w:sectPr w:rsidR="007F0B59" w:rsidRPr="0025541A" w:rsidSect="00E70F27">
      <w:footerReference w:type="default" r:id="rId16"/>
      <w:pgSz w:w="11906" w:h="16838" w:code="9"/>
      <w:pgMar w:top="851" w:right="1021" w:bottom="851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AE88" w14:textId="77777777" w:rsidR="00DF1D21" w:rsidRDefault="00DF1D21" w:rsidP="006C3641">
      <w:r>
        <w:separator/>
      </w:r>
    </w:p>
  </w:endnote>
  <w:endnote w:type="continuationSeparator" w:id="0">
    <w:p w14:paraId="2F6BBB37" w14:textId="77777777" w:rsidR="00DF1D21" w:rsidRDefault="00DF1D21" w:rsidP="006C3641">
      <w:r>
        <w:continuationSeparator/>
      </w:r>
    </w:p>
  </w:endnote>
  <w:endnote w:type="continuationNotice" w:id="1">
    <w:p w14:paraId="7E52CE5C" w14:textId="77777777" w:rsidR="00E949EC" w:rsidRDefault="00E94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C43477" w14:paraId="3E9892F2" w14:textId="77777777" w:rsidTr="007163A3">
      <w:trPr>
        <w:trHeight w:val="794"/>
      </w:trPr>
      <w:tc>
        <w:tcPr>
          <w:tcW w:w="1741" w:type="pct"/>
          <w:vAlign w:val="bottom"/>
        </w:tcPr>
        <w:p w14:paraId="3E9892EF" w14:textId="69203606" w:rsidR="00C43477" w:rsidRDefault="00C43477" w:rsidP="0025541A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21" w:name="T_NR"/>
          <w:r>
            <w:rPr>
              <w:rStyle w:val="Emphasis"/>
            </w:rPr>
            <w:t>18.3.8.2.1</w:t>
          </w:r>
          <w:bookmarkEnd w:id="21"/>
          <w:r>
            <w:rPr>
              <w:rStyle w:val="Emphasis"/>
            </w:rPr>
            <w:t xml:space="preserve">  /  </w:t>
          </w:r>
          <w:r w:rsidR="006332C5">
            <w:rPr>
              <w:rStyle w:val="Emphasis"/>
            </w:rPr>
            <w:t>0</w:t>
          </w:r>
          <w:r w:rsidR="000A5EA6">
            <w:rPr>
              <w:rStyle w:val="Emphasis"/>
            </w:rPr>
            <w:t>4</w:t>
          </w:r>
          <w:r>
            <w:rPr>
              <w:rStyle w:val="Emphasis"/>
            </w:rPr>
            <w:t>.</w:t>
          </w:r>
          <w:r w:rsidR="006332C5">
            <w:rPr>
              <w:rStyle w:val="Emphasis"/>
            </w:rPr>
            <w:t>2</w:t>
          </w:r>
          <w:r w:rsidR="00861B3D">
            <w:rPr>
              <w:rStyle w:val="Emphasis"/>
            </w:rPr>
            <w:t>4</w:t>
          </w:r>
          <w:r w:rsidR="007C7423">
            <w:rPr>
              <w:rStyle w:val="Emphasis"/>
            </w:rPr>
            <w:t xml:space="preserve">  /  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3E9892F0" w14:textId="77777777" w:rsidR="00C43477" w:rsidRDefault="00C43477" w:rsidP="00C43477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25541A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25541A">
                <w:rPr>
                  <w:rStyle w:val="Emphasis"/>
                  <w:noProof/>
                </w:rPr>
                <w:t>2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3E9892F1" w14:textId="77777777" w:rsidR="00C43477" w:rsidRDefault="00C43477" w:rsidP="00C43477">
          <w:pPr>
            <w:jc w:val="right"/>
            <w:rPr>
              <w:rStyle w:val="Emphasis"/>
            </w:rPr>
          </w:pPr>
          <w:bookmarkStart w:id="22" w:name="STRIKAM"/>
          <w:bookmarkEnd w:id="22"/>
        </w:p>
      </w:tc>
    </w:tr>
  </w:tbl>
  <w:p w14:paraId="3E9892F3" w14:textId="77777777" w:rsidR="00AE0290" w:rsidRPr="00E70F27" w:rsidRDefault="00AE0290" w:rsidP="00E70F27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2556" w14:textId="77777777" w:rsidR="00DF1D21" w:rsidRDefault="00DF1D21" w:rsidP="006C3641">
      <w:r>
        <w:separator/>
      </w:r>
    </w:p>
  </w:footnote>
  <w:footnote w:type="continuationSeparator" w:id="0">
    <w:p w14:paraId="1F8F2BCF" w14:textId="77777777" w:rsidR="00DF1D21" w:rsidRDefault="00DF1D21" w:rsidP="006C3641">
      <w:r>
        <w:continuationSeparator/>
      </w:r>
    </w:p>
  </w:footnote>
  <w:footnote w:type="continuationNotice" w:id="1">
    <w:p w14:paraId="71142275" w14:textId="77777777" w:rsidR="00E949EC" w:rsidRDefault="00E94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3E27"/>
    <w:multiLevelType w:val="hybridMultilevel"/>
    <w:tmpl w:val="AC1ACBF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QTLeSOiqYknobVbvdqi9R7HdNBoSQdBOuk+Ep4wJsbrP440WvF13dH8aT0oVbCJpCED/Tkep6caJ6hfSYp4vg==" w:salt="GV3pq/zUUmaKNNc38fh7x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666FC"/>
    <w:rsid w:val="00092308"/>
    <w:rsid w:val="000A5EA6"/>
    <w:rsid w:val="000B6D20"/>
    <w:rsid w:val="00133779"/>
    <w:rsid w:val="00151F10"/>
    <w:rsid w:val="00161D01"/>
    <w:rsid w:val="00164143"/>
    <w:rsid w:val="00195103"/>
    <w:rsid w:val="001D1577"/>
    <w:rsid w:val="001F1CEF"/>
    <w:rsid w:val="001F4971"/>
    <w:rsid w:val="001F5913"/>
    <w:rsid w:val="002015C2"/>
    <w:rsid w:val="00202D25"/>
    <w:rsid w:val="00235381"/>
    <w:rsid w:val="00247F0D"/>
    <w:rsid w:val="0025541A"/>
    <w:rsid w:val="00262D38"/>
    <w:rsid w:val="0028780D"/>
    <w:rsid w:val="00293F30"/>
    <w:rsid w:val="002A6CAC"/>
    <w:rsid w:val="003164E8"/>
    <w:rsid w:val="003212C4"/>
    <w:rsid w:val="0036452E"/>
    <w:rsid w:val="00373464"/>
    <w:rsid w:val="003B556C"/>
    <w:rsid w:val="003C0949"/>
    <w:rsid w:val="0041398D"/>
    <w:rsid w:val="00453971"/>
    <w:rsid w:val="004C62C8"/>
    <w:rsid w:val="004C7D5A"/>
    <w:rsid w:val="00500FD0"/>
    <w:rsid w:val="005B4F19"/>
    <w:rsid w:val="005B6921"/>
    <w:rsid w:val="005C1CBF"/>
    <w:rsid w:val="005F4D5E"/>
    <w:rsid w:val="005F6CA7"/>
    <w:rsid w:val="006028DE"/>
    <w:rsid w:val="006332C5"/>
    <w:rsid w:val="00676F00"/>
    <w:rsid w:val="0069070F"/>
    <w:rsid w:val="006C3641"/>
    <w:rsid w:val="006D64A8"/>
    <w:rsid w:val="006D6AD0"/>
    <w:rsid w:val="00720C55"/>
    <w:rsid w:val="00767075"/>
    <w:rsid w:val="007935A7"/>
    <w:rsid w:val="007B39EB"/>
    <w:rsid w:val="007B4020"/>
    <w:rsid w:val="007C08B3"/>
    <w:rsid w:val="007C7423"/>
    <w:rsid w:val="007D5576"/>
    <w:rsid w:val="007F0B59"/>
    <w:rsid w:val="007F18C0"/>
    <w:rsid w:val="007F289E"/>
    <w:rsid w:val="008134AD"/>
    <w:rsid w:val="008214EB"/>
    <w:rsid w:val="0082425D"/>
    <w:rsid w:val="00834478"/>
    <w:rsid w:val="00837F12"/>
    <w:rsid w:val="00857F6F"/>
    <w:rsid w:val="00861B3D"/>
    <w:rsid w:val="008661D5"/>
    <w:rsid w:val="008A19CC"/>
    <w:rsid w:val="008C1B98"/>
    <w:rsid w:val="008D6B9A"/>
    <w:rsid w:val="008E6801"/>
    <w:rsid w:val="008E6CA6"/>
    <w:rsid w:val="00900EE5"/>
    <w:rsid w:val="0092235A"/>
    <w:rsid w:val="00966DB7"/>
    <w:rsid w:val="009D68BB"/>
    <w:rsid w:val="00A02ADE"/>
    <w:rsid w:val="00A104E5"/>
    <w:rsid w:val="00A65233"/>
    <w:rsid w:val="00AA02B2"/>
    <w:rsid w:val="00AE0290"/>
    <w:rsid w:val="00AE1089"/>
    <w:rsid w:val="00AE6B58"/>
    <w:rsid w:val="00B2400B"/>
    <w:rsid w:val="00BA502F"/>
    <w:rsid w:val="00BA748E"/>
    <w:rsid w:val="00BB05EB"/>
    <w:rsid w:val="00BB300E"/>
    <w:rsid w:val="00BE05D1"/>
    <w:rsid w:val="00C06448"/>
    <w:rsid w:val="00C2115E"/>
    <w:rsid w:val="00C43477"/>
    <w:rsid w:val="00C47BA3"/>
    <w:rsid w:val="00C51DC6"/>
    <w:rsid w:val="00C53772"/>
    <w:rsid w:val="00C836C4"/>
    <w:rsid w:val="00CA1F66"/>
    <w:rsid w:val="00CB5529"/>
    <w:rsid w:val="00CE631C"/>
    <w:rsid w:val="00D00E6A"/>
    <w:rsid w:val="00D05696"/>
    <w:rsid w:val="00D27A43"/>
    <w:rsid w:val="00D3532C"/>
    <w:rsid w:val="00DC089C"/>
    <w:rsid w:val="00DC2D95"/>
    <w:rsid w:val="00DF1D21"/>
    <w:rsid w:val="00E0160A"/>
    <w:rsid w:val="00E20F35"/>
    <w:rsid w:val="00E303D0"/>
    <w:rsid w:val="00E52FC9"/>
    <w:rsid w:val="00E6465A"/>
    <w:rsid w:val="00E70F27"/>
    <w:rsid w:val="00E722D4"/>
    <w:rsid w:val="00E74462"/>
    <w:rsid w:val="00E756EB"/>
    <w:rsid w:val="00E802D9"/>
    <w:rsid w:val="00E949EC"/>
    <w:rsid w:val="00E94D61"/>
    <w:rsid w:val="00EA190D"/>
    <w:rsid w:val="00EE5526"/>
    <w:rsid w:val="00F03877"/>
    <w:rsid w:val="00F54C6F"/>
    <w:rsid w:val="00F61AF7"/>
    <w:rsid w:val="00F70221"/>
    <w:rsid w:val="00F816B4"/>
    <w:rsid w:val="00FA1312"/>
    <w:rsid w:val="00FB2431"/>
    <w:rsid w:val="00FB2AB7"/>
    <w:rsid w:val="00FC41B0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89214"/>
  <w15:docId w15:val="{156CF8D3-C8AC-4AE0-A8E5-9E50AC88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uiPriority w:val="99"/>
    <w:unhideWhenUsed/>
    <w:rsid w:val="007F0B59"/>
    <w:rPr>
      <w:color w:val="0000FF"/>
      <w:u w:val="single"/>
    </w:rPr>
  </w:style>
  <w:style w:type="character" w:customStyle="1" w:styleId="formlabelscomment2">
    <w:name w:val="formlabelscomment2"/>
    <w:rsid w:val="007F0B59"/>
  </w:style>
  <w:style w:type="character" w:styleId="FollowedHyperlink">
    <w:name w:val="FollowedHyperlink"/>
    <w:basedOn w:val="DefaultParagraphFont"/>
    <w:rsid w:val="008C1B9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353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5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5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35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538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25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5529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1D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eglugerd.is/interpro/dkm/WebGuard.nsf/b7fd33650490f8cf00256a07003476bb/ab2ea11dcfccf8df0025754c00425f42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althingi.is/lagas/136a/20080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Samningur um innheimtuþjónustu</TermName>
          <TermId xmlns="http://schemas.microsoft.com/office/infopath/2007/PartnerControls">602678e2-193c-4ded-b315-377460fec2da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glbLandnumer xmlns="3bbe397a-f104-41c1-a027-56c503be3da2" xsi:nil="true"/>
    <TaxCatchAll xmlns="3bbe397a-f104-41c1-a027-56c503be3da2">
      <Value>262</Value>
      <Value>4</Value>
      <Value>3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Fastanumer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Eydubladanumer xmlns="3bbe397a-f104-41c1-a027-56c503be3da2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DagsThinglysingar xmlns="3bbe397a-f104-41c1-a027-56c503be3da2" xsi:nil="true"/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thinglysingarnumer xmlns="3bbe397a-f104-41c1-a027-56c503be3da2" xsi:nil="true"/>
    <glbSyslumannsembaetti xmlns="3bbe397a-f104-41c1-a027-56c503be3da2" xsi:nil="true"/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2X22MJ2TKQED-13-176</_dlc_DocId>
    <_dlc_DocIdUrl xmlns="534d0f36-a7db-4464-a30e-a25dcf1b655d">
      <Url>https://seifur.arionbanki.is/eydublod/_layouts/15/DocIdRedir.aspx?ID=2X22MJ2TKQED-13-176</Url>
      <Description>2X22MJ2TKQED-13-176</Description>
    </_dlc_DocIdUrl>
  </documentManagement>
</p:propertie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54" ma:contentTypeDescription="Grunnskjal fyrir skjöl viðskiptavina" ma:contentTypeScope="" ma:versionID="2494494e9a82ad1813010487ea3ebbfb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e504aa52256a580bad2f525a3fe71c95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DFE3-1028-4E9F-8A17-1D1C453511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182A70-5186-43A1-8BBB-B47516E952C4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25790B-BC31-41B8-8C47-434DFCCE54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1B84C1-5728-49CF-8F7C-DCE93B5FA3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EB05DA-8F83-4F21-BD95-A0EA22E5F7E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B93500-B61A-40C7-9476-E6385C55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Rósa Steinþórsdóttir</dc:creator>
  <cp:lastModifiedBy>Ásgerður Káradóttir</cp:lastModifiedBy>
  <cp:revision>4</cp:revision>
  <cp:lastPrinted>2017-08-09T15:19:00Z</cp:lastPrinted>
  <dcterms:created xsi:type="dcterms:W3CDTF">2024-02-14T12:47:00Z</dcterms:created>
  <dcterms:modified xsi:type="dcterms:W3CDTF">2024-04-19T13:14:00Z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300833a7-be9d-4ad8-a41b-2122599daf6d</vt:lpwstr>
  </property>
  <property fmtid="{D5CDD505-2E9C-101B-9397-08002B2CF9AE}" pid="4" name="glbTegundVVSkjals">
    <vt:lpwstr>262;#Samningur um innheimtuþjónustu|602678e2-193c-4ded-b315-377460fec2da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TaxKeyword">
    <vt:lpwstr/>
  </property>
  <property fmtid="{D5CDD505-2E9C-101B-9397-08002B2CF9AE}" pid="10" name="_AdHocReviewCycleID">
    <vt:i4>-148769792</vt:i4>
  </property>
  <property fmtid="{D5CDD505-2E9C-101B-9397-08002B2CF9AE}" pid="11" name="_NewReviewCycle">
    <vt:lpwstr/>
  </property>
  <property fmtid="{D5CDD505-2E9C-101B-9397-08002B2CF9AE}" pid="12" name="_EmailSubject">
    <vt:lpwstr>Uppfæra á heimasíðu tvo samninga</vt:lpwstr>
  </property>
  <property fmtid="{D5CDD505-2E9C-101B-9397-08002B2CF9AE}" pid="13" name="_AuthorEmail">
    <vt:lpwstr>asgerdur.karadottir@arionbanki.is</vt:lpwstr>
  </property>
  <property fmtid="{D5CDD505-2E9C-101B-9397-08002B2CF9AE}" pid="14" name="_AuthorEmailDisplayName">
    <vt:lpwstr>Ásgerður Káradóttir</vt:lpwstr>
  </property>
  <property fmtid="{D5CDD505-2E9C-101B-9397-08002B2CF9AE}" pid="15" name="_PreviousAdHocReviewCycleID">
    <vt:i4>-1090603120</vt:i4>
  </property>
  <property fmtid="{D5CDD505-2E9C-101B-9397-08002B2CF9AE}" pid="16" name="WorkflowChangePath">
    <vt:lpwstr>fe129b94-708f-41ce-9e11-080c4ab001b1,20;fe129b94-708f-41ce-9e11-080c4ab001b1,25;fe129b94-708f-41ce-9e11-080c4ab001b1,30;fe129b94-708f-41ce-9e11-080c4ab001b1,37;fe129b94-708f-41ce-9e11-080c4ab001b1,42;fe129b94-708f-41ce-9e11-080c4ab001b1,47;fe129b94-708f-4fe129b94-708f-41ce-9e11-080c4ab001b1,81;fe129b94-708f-41ce-9e11-080c4ab001b1,88;fe129b94-708f-41ce-9e11-080c4ab001b1,99;fe129b94-708f-41ce-9e11-080c4ab001b1,106;fe129b94-708f-41ce-9e11-080c4ab001b1,111;</vt:lpwstr>
  </property>
  <property fmtid="{D5CDD505-2E9C-101B-9397-08002B2CF9AE}" pid="17" name="Tengist Kerfi">
    <vt:lpwstr>Ytrivefur</vt:lpwstr>
  </property>
</Properties>
</file>