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11"/>
      </w:tblGrid>
      <w:tr w:rsidR="00884C60" w14:paraId="6281FFEA" w14:textId="77777777" w:rsidTr="00884C60">
        <w:trPr>
          <w:trHeight w:val="397"/>
        </w:trPr>
        <w:tc>
          <w:tcPr>
            <w:tcW w:w="6379" w:type="dxa"/>
          </w:tcPr>
          <w:p w14:paraId="71B75FB1" w14:textId="77777777" w:rsidR="00884C60" w:rsidRPr="000E0706" w:rsidRDefault="00884C60" w:rsidP="000746FC">
            <w:pPr>
              <w:ind w:left="-108"/>
              <w:rPr>
                <w:rStyle w:val="SubtleEmphasis"/>
                <w:rFonts w:ascii="Century" w:hAnsi="Century"/>
                <w:color w:val="2A4056"/>
                <w:sz w:val="32"/>
                <w:szCs w:val="18"/>
              </w:rPr>
            </w:pPr>
            <w:r w:rsidRPr="000E0706">
              <w:rPr>
                <w:rFonts w:ascii="Century" w:hAnsi="Century" w:cs="Arial"/>
                <w:color w:val="2A4056"/>
                <w:sz w:val="32"/>
              </w:rPr>
              <w:t>Frjálsi lífeyrissjóðurinn</w:t>
            </w:r>
          </w:p>
        </w:tc>
        <w:tc>
          <w:tcPr>
            <w:tcW w:w="4111" w:type="dxa"/>
            <w:vMerge w:val="restart"/>
            <w:vAlign w:val="center"/>
          </w:tcPr>
          <w:p w14:paraId="22DF1053" w14:textId="77777777" w:rsidR="00884C60" w:rsidRPr="000D7E05" w:rsidRDefault="00884C60" w:rsidP="000746FC">
            <w:pPr>
              <w:jc w:val="right"/>
              <w:rPr>
                <w:rStyle w:val="SubtleEmphasis"/>
                <w:sz w:val="32"/>
                <w:szCs w:val="18"/>
              </w:rPr>
            </w:pPr>
            <w:r w:rsidRPr="00C33F44">
              <w:rPr>
                <w:rFonts w:cs="Arial"/>
                <w:noProof/>
                <w:sz w:val="20"/>
                <w:szCs w:val="20"/>
              </w:rPr>
              <w:drawing>
                <wp:inline distT="0" distB="0" distL="0" distR="0" wp14:anchorId="711BF4A7" wp14:editId="588599B6">
                  <wp:extent cx="1617253" cy="349250"/>
                  <wp:effectExtent l="0" t="0" r="2540" b="0"/>
                  <wp:docPr id="2" name="Picture 2"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5080" cy="387652"/>
                          </a:xfrm>
                          <a:prstGeom prst="rect">
                            <a:avLst/>
                          </a:prstGeom>
                          <a:noFill/>
                          <a:ln>
                            <a:noFill/>
                          </a:ln>
                        </pic:spPr>
                      </pic:pic>
                    </a:graphicData>
                  </a:graphic>
                </wp:inline>
              </w:drawing>
            </w:r>
          </w:p>
        </w:tc>
      </w:tr>
      <w:tr w:rsidR="00884C60" w14:paraId="3FA32700" w14:textId="77777777" w:rsidTr="00884C60">
        <w:tc>
          <w:tcPr>
            <w:tcW w:w="6379" w:type="dxa"/>
          </w:tcPr>
          <w:p w14:paraId="3043A3F4" w14:textId="0895BB30" w:rsidR="00884C60" w:rsidRPr="00884C60" w:rsidRDefault="00884C60" w:rsidP="000746FC">
            <w:pPr>
              <w:ind w:left="-108"/>
              <w:rPr>
                <w:rStyle w:val="SubtleEmphasis"/>
                <w:rFonts w:ascii="Century" w:hAnsi="Century" w:cs="Arial"/>
                <w:color w:val="2A4056"/>
                <w:sz w:val="24"/>
              </w:rPr>
            </w:pPr>
            <w:r w:rsidRPr="00884C60">
              <w:rPr>
                <w:rStyle w:val="SubtleEmphasis"/>
                <w:rFonts w:ascii="Century" w:hAnsi="Century" w:cs="Arial"/>
                <w:color w:val="2A4056"/>
                <w:sz w:val="24"/>
              </w:rPr>
              <w:t>Samningur um tilgreinda séreign</w:t>
            </w:r>
          </w:p>
        </w:tc>
        <w:tc>
          <w:tcPr>
            <w:tcW w:w="4111" w:type="dxa"/>
            <w:vMerge/>
            <w:vAlign w:val="bottom"/>
          </w:tcPr>
          <w:p w14:paraId="2DF5895B" w14:textId="77777777" w:rsidR="00884C60" w:rsidRDefault="00884C60" w:rsidP="000746FC">
            <w:pPr>
              <w:jc w:val="right"/>
              <w:rPr>
                <w:rStyle w:val="SubtleEmphasis"/>
                <w:szCs w:val="18"/>
              </w:rPr>
            </w:pPr>
          </w:p>
        </w:tc>
      </w:tr>
    </w:tbl>
    <w:p w14:paraId="4A88A3C9" w14:textId="77777777" w:rsidR="00884C60" w:rsidRPr="00884C60" w:rsidRDefault="00884C60" w:rsidP="000746FC">
      <w:pPr>
        <w:rPr>
          <w:sz w:val="6"/>
        </w:rPr>
      </w:pPr>
    </w:p>
    <w:p w14:paraId="77002D15" w14:textId="45FF644B" w:rsidR="00884C60" w:rsidRPr="00884C60" w:rsidRDefault="00884C60" w:rsidP="000746FC">
      <w:pPr>
        <w:jc w:val="right"/>
        <w:rPr>
          <w:sz w:val="17"/>
          <w:szCs w:val="17"/>
        </w:rPr>
      </w:pPr>
      <w:r w:rsidRPr="00884C60">
        <w:rPr>
          <w:rFonts w:cs="Arial"/>
          <w:noProof/>
          <w:sz w:val="17"/>
          <w:szCs w:val="17"/>
        </w:rPr>
        <w:t>Rnr.</w:t>
      </w:r>
      <w:r w:rsidRPr="00884C60">
        <w:rPr>
          <w:sz w:val="17"/>
          <w:szCs w:val="17"/>
        </w:rPr>
        <w:t xml:space="preserve"> </w:t>
      </w:r>
      <w:r w:rsidRPr="00884C60">
        <w:rPr>
          <w:rFonts w:cs="Arial"/>
          <w:sz w:val="17"/>
          <w:szCs w:val="17"/>
        </w:rPr>
        <w:t>329-26-7056, kt. 600978-0129, lsjnr. 137</w:t>
      </w:r>
    </w:p>
    <w:p w14:paraId="5CCE8161" w14:textId="616E2140" w:rsidR="00884C60" w:rsidRDefault="00884C60" w:rsidP="000746FC">
      <w:pPr>
        <w:rPr>
          <w:sz w:val="8"/>
        </w:rPr>
      </w:pPr>
    </w:p>
    <w:p w14:paraId="58FE7EB9" w14:textId="77777777" w:rsidR="000746FC" w:rsidRPr="00CB2510" w:rsidRDefault="000746FC" w:rsidP="000746FC">
      <w:pPr>
        <w:rPr>
          <w:sz w:val="8"/>
        </w:rPr>
      </w:pPr>
    </w:p>
    <w:p w14:paraId="65E2C27E" w14:textId="18B56AC8" w:rsidR="003E4554" w:rsidRPr="0096702B" w:rsidRDefault="003E4554" w:rsidP="000746FC">
      <w:pPr>
        <w:jc w:val="both"/>
        <w:rPr>
          <w:rFonts w:cs="Arial"/>
          <w:b/>
          <w:sz w:val="18"/>
          <w:szCs w:val="18"/>
        </w:rPr>
      </w:pPr>
      <w:r w:rsidRPr="0096702B">
        <w:rPr>
          <w:rFonts w:cs="Arial"/>
          <w:b/>
          <w:sz w:val="18"/>
          <w:szCs w:val="18"/>
        </w:rPr>
        <w:t xml:space="preserve">Undirritaður </w:t>
      </w:r>
      <w:r w:rsidR="00752E94">
        <w:rPr>
          <w:rFonts w:cs="Arial"/>
          <w:b/>
          <w:sz w:val="18"/>
          <w:szCs w:val="18"/>
        </w:rPr>
        <w:t xml:space="preserve">sjóðfélagi </w:t>
      </w:r>
      <w:r w:rsidRPr="0096702B">
        <w:rPr>
          <w:rFonts w:cs="Arial"/>
          <w:b/>
          <w:sz w:val="18"/>
          <w:szCs w:val="18"/>
        </w:rPr>
        <w:t xml:space="preserve">og Frjálsi lífeyrissjóðurinn gera með sér eftirfarandi samning um reglulegan </w:t>
      </w:r>
      <w:r w:rsidR="00B21305">
        <w:rPr>
          <w:rFonts w:cs="Arial"/>
          <w:b/>
          <w:sz w:val="18"/>
          <w:szCs w:val="18"/>
        </w:rPr>
        <w:t>sparnað í tilgreinda séreign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gridCol w:w="297"/>
        <w:gridCol w:w="2662"/>
      </w:tblGrid>
      <w:tr w:rsidR="003E4554" w:rsidRPr="005D14C2" w14:paraId="65E2C282" w14:textId="77777777" w:rsidTr="00AF2D01">
        <w:trPr>
          <w:trHeight w:val="283"/>
        </w:trPr>
        <w:tc>
          <w:tcPr>
            <w:tcW w:w="3597" w:type="pct"/>
            <w:tcBorders>
              <w:bottom w:val="single" w:sz="2" w:space="0" w:color="auto"/>
            </w:tcBorders>
            <w:vAlign w:val="bottom"/>
          </w:tcPr>
          <w:p w14:paraId="65E2C27F" w14:textId="5BD8023A" w:rsidR="003E4554" w:rsidRPr="005D14C2" w:rsidRDefault="00752E94" w:rsidP="000746FC">
            <w:pPr>
              <w:rPr>
                <w:rFonts w:asciiTheme="minorHAnsi" w:hAnsiTheme="minorHAnsi"/>
                <w:iCs/>
                <w:sz w:val="20"/>
                <w:szCs w:val="20"/>
              </w:rPr>
            </w:pPr>
            <w:r>
              <w:rPr>
                <w:iCs/>
                <w:sz w:val="20"/>
                <w:szCs w:val="20"/>
              </w:rPr>
              <w:fldChar w:fldCharType="begin">
                <w:ffData>
                  <w:name w:val="NAFN1"/>
                  <w:enabled/>
                  <w:calcOnExit w:val="0"/>
                  <w:textInput/>
                </w:ffData>
              </w:fldChar>
            </w:r>
            <w:bookmarkStart w:id="0" w:name="NAFN1"/>
            <w:r>
              <w:rPr>
                <w:iCs/>
                <w:sz w:val="20"/>
                <w:szCs w:val="20"/>
              </w:rPr>
              <w:instrText xml:space="preserve"> FORMTEXT </w:instrText>
            </w:r>
            <w:r>
              <w:rPr>
                <w:iCs/>
                <w:sz w:val="20"/>
                <w:szCs w:val="20"/>
              </w:rPr>
            </w:r>
            <w:r>
              <w:rPr>
                <w:iCs/>
                <w:sz w:val="20"/>
                <w:szCs w:val="20"/>
              </w:rPr>
              <w:fldChar w:fldCharType="separate"/>
            </w:r>
            <w:r>
              <w:rPr>
                <w:iCs/>
                <w:noProof/>
                <w:sz w:val="20"/>
                <w:szCs w:val="20"/>
              </w:rPr>
              <w:t> </w:t>
            </w:r>
            <w:r>
              <w:rPr>
                <w:iCs/>
                <w:noProof/>
                <w:sz w:val="20"/>
                <w:szCs w:val="20"/>
              </w:rPr>
              <w:t> </w:t>
            </w:r>
            <w:r>
              <w:rPr>
                <w:iCs/>
                <w:noProof/>
                <w:sz w:val="20"/>
                <w:szCs w:val="20"/>
              </w:rPr>
              <w:t> </w:t>
            </w:r>
            <w:r>
              <w:rPr>
                <w:iCs/>
                <w:noProof/>
                <w:sz w:val="20"/>
                <w:szCs w:val="20"/>
              </w:rPr>
              <w:t> </w:t>
            </w:r>
            <w:r>
              <w:rPr>
                <w:iCs/>
                <w:noProof/>
                <w:sz w:val="20"/>
                <w:szCs w:val="20"/>
              </w:rPr>
              <w:t> </w:t>
            </w:r>
            <w:r>
              <w:rPr>
                <w:iCs/>
                <w:sz w:val="20"/>
                <w:szCs w:val="20"/>
              </w:rPr>
              <w:fldChar w:fldCharType="end"/>
            </w:r>
            <w:bookmarkEnd w:id="0"/>
          </w:p>
        </w:tc>
        <w:tc>
          <w:tcPr>
            <w:tcW w:w="141" w:type="pct"/>
            <w:vAlign w:val="bottom"/>
          </w:tcPr>
          <w:p w14:paraId="65E2C280" w14:textId="77777777" w:rsidR="003E4554" w:rsidRPr="005D14C2" w:rsidRDefault="003E4554" w:rsidP="000746FC">
            <w:pPr>
              <w:rPr>
                <w:rFonts w:asciiTheme="minorHAnsi" w:hAnsiTheme="minorHAnsi"/>
                <w:iCs/>
                <w:sz w:val="20"/>
                <w:szCs w:val="20"/>
              </w:rPr>
            </w:pPr>
          </w:p>
        </w:tc>
        <w:tc>
          <w:tcPr>
            <w:tcW w:w="1262" w:type="pct"/>
            <w:tcBorders>
              <w:bottom w:val="single" w:sz="2" w:space="0" w:color="auto"/>
            </w:tcBorders>
            <w:vAlign w:val="bottom"/>
          </w:tcPr>
          <w:p w14:paraId="65E2C281" w14:textId="722E7127" w:rsidR="003E4554" w:rsidRPr="005D14C2" w:rsidRDefault="00752E94" w:rsidP="000746FC">
            <w:pPr>
              <w:rPr>
                <w:rFonts w:asciiTheme="minorHAnsi" w:hAnsiTheme="minorHAnsi"/>
                <w:iCs/>
                <w:sz w:val="20"/>
                <w:szCs w:val="20"/>
              </w:rPr>
            </w:pPr>
            <w:r>
              <w:rPr>
                <w:iCs/>
                <w:sz w:val="20"/>
                <w:szCs w:val="20"/>
              </w:rPr>
              <w:fldChar w:fldCharType="begin">
                <w:ffData>
                  <w:name w:val="KT1"/>
                  <w:enabled/>
                  <w:calcOnExit w:val="0"/>
                  <w:textInput>
                    <w:type w:val="number"/>
                    <w:format w:val="######-####"/>
                  </w:textInput>
                </w:ffData>
              </w:fldChar>
            </w:r>
            <w:bookmarkStart w:id="1" w:name="KT1"/>
            <w:r>
              <w:rPr>
                <w:iCs/>
                <w:sz w:val="20"/>
                <w:szCs w:val="20"/>
              </w:rPr>
              <w:instrText xml:space="preserve"> FORMTEXT </w:instrText>
            </w:r>
            <w:r>
              <w:rPr>
                <w:iCs/>
                <w:sz w:val="20"/>
                <w:szCs w:val="20"/>
              </w:rPr>
            </w:r>
            <w:r>
              <w:rPr>
                <w:iCs/>
                <w:sz w:val="20"/>
                <w:szCs w:val="20"/>
              </w:rPr>
              <w:fldChar w:fldCharType="separate"/>
            </w:r>
            <w:r>
              <w:rPr>
                <w:iCs/>
                <w:noProof/>
                <w:sz w:val="20"/>
                <w:szCs w:val="20"/>
              </w:rPr>
              <w:t> </w:t>
            </w:r>
            <w:r>
              <w:rPr>
                <w:iCs/>
                <w:noProof/>
                <w:sz w:val="20"/>
                <w:szCs w:val="20"/>
              </w:rPr>
              <w:t> </w:t>
            </w:r>
            <w:r>
              <w:rPr>
                <w:iCs/>
                <w:noProof/>
                <w:sz w:val="20"/>
                <w:szCs w:val="20"/>
              </w:rPr>
              <w:t> </w:t>
            </w:r>
            <w:r>
              <w:rPr>
                <w:iCs/>
                <w:noProof/>
                <w:sz w:val="20"/>
                <w:szCs w:val="20"/>
              </w:rPr>
              <w:t> </w:t>
            </w:r>
            <w:r>
              <w:rPr>
                <w:iCs/>
                <w:noProof/>
                <w:sz w:val="20"/>
                <w:szCs w:val="20"/>
              </w:rPr>
              <w:t> </w:t>
            </w:r>
            <w:r>
              <w:rPr>
                <w:iCs/>
                <w:sz w:val="20"/>
                <w:szCs w:val="20"/>
              </w:rPr>
              <w:fldChar w:fldCharType="end"/>
            </w:r>
            <w:bookmarkEnd w:id="1"/>
          </w:p>
        </w:tc>
      </w:tr>
      <w:tr w:rsidR="003E4554" w:rsidRPr="005D14C2" w14:paraId="65E2C286" w14:textId="77777777" w:rsidTr="00AF2D01">
        <w:tc>
          <w:tcPr>
            <w:tcW w:w="3597" w:type="pct"/>
            <w:tcBorders>
              <w:top w:val="single" w:sz="2" w:space="0" w:color="auto"/>
            </w:tcBorders>
          </w:tcPr>
          <w:p w14:paraId="65E2C283" w14:textId="289C42EF" w:rsidR="003E4554" w:rsidRPr="005D14C2" w:rsidRDefault="003E4554" w:rsidP="000746FC">
            <w:pPr>
              <w:rPr>
                <w:rFonts w:asciiTheme="minorHAnsi" w:hAnsiTheme="minorHAnsi"/>
                <w:bCs/>
                <w:sz w:val="14"/>
              </w:rPr>
            </w:pPr>
            <w:r w:rsidRPr="005D14C2">
              <w:rPr>
                <w:rFonts w:asciiTheme="minorHAnsi" w:hAnsiTheme="minorHAnsi"/>
                <w:bCs/>
                <w:sz w:val="14"/>
              </w:rPr>
              <w:t xml:space="preserve">Nafn </w:t>
            </w:r>
            <w:r w:rsidR="00752E94">
              <w:rPr>
                <w:rFonts w:asciiTheme="minorHAnsi" w:hAnsiTheme="minorHAnsi"/>
                <w:bCs/>
                <w:sz w:val="14"/>
              </w:rPr>
              <w:t>s</w:t>
            </w:r>
            <w:r w:rsidR="00752E94">
              <w:rPr>
                <w:bCs/>
                <w:sz w:val="14"/>
              </w:rPr>
              <w:t>jóðfélaga</w:t>
            </w:r>
          </w:p>
        </w:tc>
        <w:tc>
          <w:tcPr>
            <w:tcW w:w="141" w:type="pct"/>
          </w:tcPr>
          <w:p w14:paraId="65E2C284" w14:textId="77777777" w:rsidR="003E4554" w:rsidRPr="005D14C2" w:rsidRDefault="003E4554" w:rsidP="000746FC">
            <w:pPr>
              <w:rPr>
                <w:rFonts w:asciiTheme="minorHAnsi" w:hAnsiTheme="minorHAnsi"/>
                <w:bCs/>
                <w:sz w:val="14"/>
              </w:rPr>
            </w:pPr>
          </w:p>
        </w:tc>
        <w:tc>
          <w:tcPr>
            <w:tcW w:w="1262" w:type="pct"/>
            <w:tcBorders>
              <w:top w:val="single" w:sz="2" w:space="0" w:color="auto"/>
            </w:tcBorders>
          </w:tcPr>
          <w:p w14:paraId="65E2C285" w14:textId="66F9621C" w:rsidR="003E4554" w:rsidRPr="005D14C2" w:rsidRDefault="003E4554" w:rsidP="000746FC">
            <w:pPr>
              <w:rPr>
                <w:rFonts w:asciiTheme="minorHAnsi" w:hAnsiTheme="minorHAnsi"/>
                <w:bCs/>
                <w:sz w:val="14"/>
              </w:rPr>
            </w:pPr>
            <w:r w:rsidRPr="005D14C2">
              <w:rPr>
                <w:rFonts w:asciiTheme="minorHAnsi" w:hAnsiTheme="minorHAnsi"/>
                <w:bCs/>
                <w:sz w:val="14"/>
              </w:rPr>
              <w:t>Kennitala</w:t>
            </w:r>
            <w:r w:rsidR="00752E94">
              <w:rPr>
                <w:rFonts w:asciiTheme="minorHAnsi" w:hAnsiTheme="minorHAnsi"/>
                <w:bCs/>
                <w:sz w:val="14"/>
              </w:rPr>
              <w:t xml:space="preserve"> </w:t>
            </w:r>
            <w:r w:rsidR="00752E94">
              <w:rPr>
                <w:bCs/>
                <w:sz w:val="14"/>
              </w:rPr>
              <w:t>sjóðfélaga</w:t>
            </w:r>
          </w:p>
        </w:tc>
      </w:tr>
      <w:tr w:rsidR="00752E94" w:rsidRPr="005D14C2" w14:paraId="33977DF7" w14:textId="77777777" w:rsidTr="008A4CB1">
        <w:tc>
          <w:tcPr>
            <w:tcW w:w="3597" w:type="pct"/>
            <w:tcBorders>
              <w:bottom w:val="single" w:sz="2" w:space="0" w:color="auto"/>
            </w:tcBorders>
          </w:tcPr>
          <w:p w14:paraId="420FEF8A" w14:textId="77777777" w:rsidR="00752E94" w:rsidRPr="005D14C2" w:rsidRDefault="00752E94" w:rsidP="000746FC">
            <w:pPr>
              <w:rPr>
                <w:rFonts w:asciiTheme="minorHAnsi" w:hAnsiTheme="minorHAnsi"/>
                <w:iCs/>
                <w:sz w:val="20"/>
              </w:rPr>
            </w:pPr>
            <w:r>
              <w:rPr>
                <w:iCs/>
                <w:sz w:val="20"/>
              </w:rPr>
              <w:fldChar w:fldCharType="begin">
                <w:ffData>
                  <w:name w:val="NETFANG"/>
                  <w:enabled/>
                  <w:calcOnExit w:val="0"/>
                  <w:textInput/>
                </w:ffData>
              </w:fldChar>
            </w:r>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p>
        </w:tc>
        <w:tc>
          <w:tcPr>
            <w:tcW w:w="141" w:type="pct"/>
          </w:tcPr>
          <w:p w14:paraId="78654E3B" w14:textId="77777777" w:rsidR="00752E94" w:rsidRPr="005D14C2" w:rsidRDefault="00752E94" w:rsidP="000746FC">
            <w:pPr>
              <w:rPr>
                <w:rFonts w:asciiTheme="minorHAnsi" w:hAnsiTheme="minorHAnsi"/>
                <w:iCs/>
                <w:sz w:val="20"/>
              </w:rPr>
            </w:pPr>
          </w:p>
        </w:tc>
        <w:tc>
          <w:tcPr>
            <w:tcW w:w="1262" w:type="pct"/>
            <w:tcBorders>
              <w:bottom w:val="single" w:sz="2" w:space="0" w:color="auto"/>
            </w:tcBorders>
          </w:tcPr>
          <w:p w14:paraId="61772A1D" w14:textId="4DE38870" w:rsidR="00752E94" w:rsidRPr="005D14C2" w:rsidRDefault="00752E94" w:rsidP="000746FC">
            <w:pPr>
              <w:rPr>
                <w:rFonts w:asciiTheme="minorHAnsi" w:hAnsiTheme="minorHAnsi"/>
                <w:iCs/>
                <w:sz w:val="20"/>
              </w:rPr>
            </w:pPr>
            <w:r>
              <w:rPr>
                <w:iCs/>
                <w:sz w:val="20"/>
              </w:rPr>
              <w:fldChar w:fldCharType="begin">
                <w:ffData>
                  <w:name w:val="KT2"/>
                  <w:enabled/>
                  <w:calcOnExit w:val="0"/>
                  <w:textInput>
                    <w:type w:val="number"/>
                    <w:format w:val="######-####"/>
                  </w:textInput>
                </w:ffData>
              </w:fldChar>
            </w:r>
            <w:bookmarkStart w:id="2" w:name="KT2"/>
            <w:r>
              <w:rPr>
                <w:rFonts w:asciiTheme="minorHAnsi" w:hAnsiTheme="minorHAnsi"/>
                <w:iCs/>
                <w:sz w:val="20"/>
              </w:rPr>
              <w:instrText xml:space="preserve"> FORMTEXT </w:instrText>
            </w:r>
            <w:r>
              <w:rPr>
                <w:iCs/>
                <w:sz w:val="20"/>
              </w:rPr>
            </w:r>
            <w:r>
              <w:rPr>
                <w:iCs/>
                <w:sz w:val="20"/>
              </w:rPr>
              <w:fldChar w:fldCharType="separate"/>
            </w:r>
            <w:r>
              <w:rPr>
                <w:rFonts w:asciiTheme="minorHAnsi" w:hAnsiTheme="minorHAnsi"/>
                <w:iCs/>
                <w:noProof/>
                <w:sz w:val="20"/>
              </w:rPr>
              <w:t> </w:t>
            </w:r>
            <w:r>
              <w:rPr>
                <w:rFonts w:asciiTheme="minorHAnsi" w:hAnsiTheme="minorHAnsi"/>
                <w:iCs/>
                <w:noProof/>
                <w:sz w:val="20"/>
              </w:rPr>
              <w:t> </w:t>
            </w:r>
            <w:r>
              <w:rPr>
                <w:rFonts w:asciiTheme="minorHAnsi" w:hAnsiTheme="minorHAnsi"/>
                <w:iCs/>
                <w:noProof/>
                <w:sz w:val="20"/>
              </w:rPr>
              <w:t> </w:t>
            </w:r>
            <w:r>
              <w:rPr>
                <w:rFonts w:asciiTheme="minorHAnsi" w:hAnsiTheme="minorHAnsi"/>
                <w:iCs/>
                <w:noProof/>
                <w:sz w:val="20"/>
              </w:rPr>
              <w:t> </w:t>
            </w:r>
            <w:r>
              <w:rPr>
                <w:rFonts w:asciiTheme="minorHAnsi" w:hAnsiTheme="minorHAnsi"/>
                <w:iCs/>
                <w:noProof/>
                <w:sz w:val="20"/>
              </w:rPr>
              <w:t> </w:t>
            </w:r>
            <w:r>
              <w:rPr>
                <w:iCs/>
                <w:sz w:val="20"/>
              </w:rPr>
              <w:fldChar w:fldCharType="end"/>
            </w:r>
            <w:bookmarkEnd w:id="2"/>
          </w:p>
        </w:tc>
      </w:tr>
      <w:tr w:rsidR="00752E94" w:rsidRPr="005D14C2" w14:paraId="3B38A04E" w14:textId="77777777" w:rsidTr="008A4CB1">
        <w:tc>
          <w:tcPr>
            <w:tcW w:w="3597" w:type="pct"/>
            <w:tcBorders>
              <w:top w:val="single" w:sz="2" w:space="0" w:color="auto"/>
            </w:tcBorders>
          </w:tcPr>
          <w:p w14:paraId="55C847FE" w14:textId="70315683" w:rsidR="00752E94" w:rsidRPr="005D14C2" w:rsidRDefault="00752E94" w:rsidP="000746FC">
            <w:pPr>
              <w:rPr>
                <w:rFonts w:asciiTheme="minorHAnsi" w:hAnsiTheme="minorHAnsi"/>
                <w:bCs/>
                <w:sz w:val="14"/>
              </w:rPr>
            </w:pPr>
            <w:r>
              <w:rPr>
                <w:rFonts w:asciiTheme="minorHAnsi" w:hAnsiTheme="minorHAnsi"/>
                <w:bCs/>
                <w:sz w:val="14"/>
              </w:rPr>
              <w:t>N</w:t>
            </w:r>
            <w:r>
              <w:rPr>
                <w:bCs/>
                <w:sz w:val="14"/>
              </w:rPr>
              <w:t>afn launagreiðanda</w:t>
            </w:r>
          </w:p>
        </w:tc>
        <w:tc>
          <w:tcPr>
            <w:tcW w:w="141" w:type="pct"/>
          </w:tcPr>
          <w:p w14:paraId="7F7EBE40" w14:textId="77777777" w:rsidR="00752E94" w:rsidRPr="005D14C2" w:rsidRDefault="00752E94" w:rsidP="000746FC">
            <w:pPr>
              <w:rPr>
                <w:rFonts w:asciiTheme="minorHAnsi" w:hAnsiTheme="minorHAnsi"/>
                <w:bCs/>
                <w:sz w:val="14"/>
              </w:rPr>
            </w:pPr>
          </w:p>
        </w:tc>
        <w:tc>
          <w:tcPr>
            <w:tcW w:w="1262" w:type="pct"/>
            <w:tcBorders>
              <w:top w:val="single" w:sz="2" w:space="0" w:color="auto"/>
            </w:tcBorders>
          </w:tcPr>
          <w:p w14:paraId="3C559B6E" w14:textId="2B9ECA22" w:rsidR="00752E94" w:rsidRPr="005D14C2" w:rsidRDefault="00752E94" w:rsidP="000746FC">
            <w:pPr>
              <w:rPr>
                <w:rFonts w:asciiTheme="minorHAnsi" w:hAnsiTheme="minorHAnsi"/>
                <w:bCs/>
                <w:sz w:val="14"/>
              </w:rPr>
            </w:pPr>
            <w:r>
              <w:rPr>
                <w:rFonts w:asciiTheme="minorHAnsi" w:hAnsiTheme="minorHAnsi"/>
                <w:bCs/>
                <w:sz w:val="14"/>
              </w:rPr>
              <w:t>K</w:t>
            </w:r>
            <w:r>
              <w:rPr>
                <w:bCs/>
                <w:sz w:val="14"/>
              </w:rPr>
              <w:t>ennitala launagreiðanda</w:t>
            </w:r>
          </w:p>
        </w:tc>
      </w:tr>
    </w:tbl>
    <w:p w14:paraId="65E2C29B" w14:textId="36505D51" w:rsidR="00CB2510" w:rsidRDefault="00CB2510" w:rsidP="000746FC">
      <w:pPr>
        <w:rPr>
          <w:rFonts w:cs="Avenir-Light"/>
          <w:b/>
          <w:sz w:val="8"/>
          <w:szCs w:val="15"/>
          <w:lang w:eastAsia="en-GB"/>
        </w:rPr>
      </w:pPr>
    </w:p>
    <w:p w14:paraId="4418CBA9" w14:textId="77777777" w:rsidR="000746FC" w:rsidRDefault="000746FC" w:rsidP="000746FC">
      <w:pPr>
        <w:rPr>
          <w:rFonts w:cs="Avenir-Light"/>
          <w:b/>
          <w:sz w:val="8"/>
          <w:szCs w:val="15"/>
          <w:lang w:eastAsia="en-GB"/>
        </w:rPr>
      </w:pPr>
    </w:p>
    <w:p w14:paraId="5CD21BD9" w14:textId="77777777" w:rsidR="000746FC" w:rsidRDefault="000746FC" w:rsidP="000746FC">
      <w:pPr>
        <w:rPr>
          <w:rFonts w:cs="Avenir-Light"/>
          <w:b/>
          <w:sz w:val="8"/>
          <w:szCs w:val="15"/>
          <w:lang w:eastAsia="en-GB"/>
        </w:rPr>
      </w:pPr>
    </w:p>
    <w:tbl>
      <w:tblPr>
        <w:tblStyle w:val="TableGrid"/>
        <w:tblW w:w="9923" w:type="dxa"/>
        <w:tblLook w:val="04A0" w:firstRow="1" w:lastRow="0" w:firstColumn="1" w:lastColumn="0" w:noHBand="0" w:noVBand="1"/>
      </w:tblPr>
      <w:tblGrid>
        <w:gridCol w:w="2972"/>
        <w:gridCol w:w="6951"/>
      </w:tblGrid>
      <w:tr w:rsidR="00CB2510" w14:paraId="65E2C29E" w14:textId="77777777" w:rsidTr="00CB2510">
        <w:tc>
          <w:tcPr>
            <w:tcW w:w="2972" w:type="dxa"/>
            <w:tcBorders>
              <w:top w:val="nil"/>
              <w:left w:val="nil"/>
              <w:bottom w:val="nil"/>
              <w:right w:val="nil"/>
            </w:tcBorders>
          </w:tcPr>
          <w:p w14:paraId="65E2C29C" w14:textId="77777777" w:rsidR="00CB2510" w:rsidRPr="00CB2510" w:rsidRDefault="00CB2510" w:rsidP="000746FC">
            <w:pPr>
              <w:ind w:left="-108"/>
              <w:rPr>
                <w:rFonts w:cs="Avenir-Light"/>
                <w:b/>
                <w:sz w:val="18"/>
                <w:szCs w:val="15"/>
                <w:lang w:eastAsia="en-GB"/>
              </w:rPr>
            </w:pPr>
            <w:r w:rsidRPr="00CB2510">
              <w:rPr>
                <w:rFonts w:cs="Avenir-Light"/>
                <w:b/>
                <w:sz w:val="18"/>
                <w:szCs w:val="15"/>
                <w:lang w:eastAsia="en-GB"/>
              </w:rPr>
              <w:t>Lífeyrissjóður (samtryggingarsjóður):</w:t>
            </w:r>
          </w:p>
        </w:tc>
        <w:tc>
          <w:tcPr>
            <w:tcW w:w="6951" w:type="dxa"/>
            <w:tcBorders>
              <w:top w:val="nil"/>
              <w:left w:val="nil"/>
              <w:right w:val="nil"/>
            </w:tcBorders>
          </w:tcPr>
          <w:p w14:paraId="65E2C29D" w14:textId="77777777" w:rsidR="00CB2510" w:rsidRPr="00CB2510" w:rsidRDefault="00CB2510" w:rsidP="000746FC">
            <w:pPr>
              <w:rPr>
                <w:rStyle w:val="SubtleEmphasis"/>
              </w:rPr>
            </w:pPr>
            <w:r>
              <w:rPr>
                <w:rStyle w:val="SubtleEmphasis"/>
              </w:rPr>
              <w:fldChar w:fldCharType="begin">
                <w:ffData>
                  <w:name w:val="Text8"/>
                  <w:enabled/>
                  <w:calcOnExit w:val="0"/>
                  <w:textInput/>
                </w:ffData>
              </w:fldChar>
            </w:r>
            <w:bookmarkStart w:id="3" w:name="Text8"/>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3"/>
          </w:p>
        </w:tc>
      </w:tr>
    </w:tbl>
    <w:p w14:paraId="65E2C29F" w14:textId="0649E711" w:rsidR="00CB2510" w:rsidRDefault="00CB2510" w:rsidP="000746FC">
      <w:pPr>
        <w:rPr>
          <w:rFonts w:cs="Avenir-Light"/>
          <w:b/>
          <w:sz w:val="8"/>
          <w:szCs w:val="15"/>
          <w:lang w:eastAsia="en-GB"/>
        </w:rPr>
      </w:pPr>
    </w:p>
    <w:p w14:paraId="5C323464" w14:textId="77777777" w:rsidR="000746FC" w:rsidRDefault="000746FC" w:rsidP="000746FC">
      <w:pPr>
        <w:rPr>
          <w:rFonts w:cs="Avenir-Light"/>
          <w:b/>
          <w:sz w:val="8"/>
          <w:szCs w:val="15"/>
          <w:lang w:eastAsia="en-GB"/>
        </w:rPr>
      </w:pPr>
    </w:p>
    <w:p w14:paraId="65E2C2A0" w14:textId="77777777" w:rsidR="0050709F" w:rsidRPr="0050709F" w:rsidRDefault="0050709F" w:rsidP="000746FC">
      <w:pPr>
        <w:rPr>
          <w:rFonts w:cs="Avenir-Light"/>
          <w:sz w:val="16"/>
          <w:szCs w:val="16"/>
          <w:u w:val="single"/>
          <w:lang w:eastAsia="en-GB"/>
        </w:rPr>
      </w:pPr>
      <w:r w:rsidRPr="0050709F">
        <w:rPr>
          <w:rFonts w:cs="Avenir-Light"/>
          <w:sz w:val="16"/>
          <w:szCs w:val="16"/>
          <w:u w:val="single"/>
          <w:lang w:eastAsia="en-GB"/>
        </w:rPr>
        <w:t>Í þeim tilvikum sem lífeyrissjóður sendir greiðslu til Frjálsa í stað launagreiðanda, þurfa sjóðfélagar að fylla út viðeigandi eyðublöð hjá viðkomandi sjóði.</w:t>
      </w:r>
    </w:p>
    <w:p w14:paraId="65E2C2A1" w14:textId="0D10C988" w:rsidR="0050709F" w:rsidRDefault="0050709F" w:rsidP="000746FC">
      <w:pPr>
        <w:rPr>
          <w:rFonts w:cs="Avenir-Light"/>
          <w:b/>
          <w:sz w:val="8"/>
          <w:szCs w:val="15"/>
          <w:lang w:eastAsia="en-GB"/>
        </w:rPr>
      </w:pPr>
    </w:p>
    <w:p w14:paraId="58101AC8" w14:textId="77777777" w:rsidR="000746FC" w:rsidRPr="005C6BAF" w:rsidRDefault="000746FC" w:rsidP="000746FC">
      <w:pPr>
        <w:rPr>
          <w:rFonts w:cs="Avenir-Light"/>
          <w:b/>
          <w:sz w:val="8"/>
          <w:szCs w:val="15"/>
          <w:lang w:eastAsia="en-GB"/>
        </w:rPr>
      </w:pPr>
    </w:p>
    <w:p w14:paraId="65E2C2A2" w14:textId="77777777" w:rsidR="00860D17" w:rsidRPr="00E872DC" w:rsidRDefault="001A7EEC" w:rsidP="000746FC">
      <w:pPr>
        <w:rPr>
          <w:rFonts w:cs="Avenir-Light"/>
          <w:b/>
          <w:sz w:val="18"/>
          <w:szCs w:val="15"/>
          <w:lang w:eastAsia="en-GB"/>
        </w:rPr>
      </w:pPr>
      <w:r>
        <w:rPr>
          <w:rFonts w:cs="Avenir-Light"/>
          <w:b/>
          <w:sz w:val="18"/>
          <w:szCs w:val="15"/>
          <w:lang w:eastAsia="en-GB"/>
        </w:rPr>
        <w:t>Upplýst samþykki</w:t>
      </w:r>
    </w:p>
    <w:p w14:paraId="65E2C2A3" w14:textId="53B2C9A8" w:rsidR="00860D17" w:rsidRPr="00DE4D03" w:rsidRDefault="00860D17" w:rsidP="000746FC">
      <w:pPr>
        <w:jc w:val="both"/>
        <w:rPr>
          <w:sz w:val="16"/>
          <w:szCs w:val="15"/>
        </w:rPr>
      </w:pPr>
      <w:r w:rsidRPr="00DE4D03">
        <w:rPr>
          <w:sz w:val="16"/>
          <w:szCs w:val="15"/>
        </w:rPr>
        <w:t xml:space="preserve">Val um það hvort iðgjald skuli renna í tilgreinda séreign í stað samtryggingardeildar er undir ákvörðun sjóðfélaga komið. Með gerð samnings þessa staðfestir </w:t>
      </w:r>
      <w:r w:rsidR="00EE6361">
        <w:rPr>
          <w:rFonts w:cs="Avenir-Light"/>
          <w:sz w:val="14"/>
          <w:szCs w:val="14"/>
          <w:lang w:eastAsia="en-GB"/>
        </w:rPr>
        <w:t>sjóðfélagi</w:t>
      </w:r>
      <w:r w:rsidRPr="00DE4D03">
        <w:rPr>
          <w:sz w:val="16"/>
          <w:szCs w:val="15"/>
        </w:rPr>
        <w:t xml:space="preserve"> að hann hafi kynnt sér þær reglur sem gilda um tryggingavernd </w:t>
      </w:r>
      <w:r w:rsidR="00B21305">
        <w:rPr>
          <w:sz w:val="16"/>
          <w:szCs w:val="15"/>
        </w:rPr>
        <w:t xml:space="preserve">í samtryggingu </w:t>
      </w:r>
      <w:r w:rsidRPr="00DE4D03">
        <w:rPr>
          <w:sz w:val="16"/>
          <w:szCs w:val="15"/>
        </w:rPr>
        <w:t xml:space="preserve">hjá þeim lífeyrissjóði sem </w:t>
      </w:r>
      <w:r w:rsidR="00752E94">
        <w:rPr>
          <w:sz w:val="16"/>
          <w:szCs w:val="15"/>
        </w:rPr>
        <w:t>sjóðfélag</w:t>
      </w:r>
      <w:r w:rsidRPr="00DE4D03">
        <w:rPr>
          <w:sz w:val="16"/>
          <w:szCs w:val="15"/>
        </w:rPr>
        <w:t xml:space="preserve">i greiðir samtryggingarhluta lágmarksiðgjaldsins til annars vegar og þær reglur sem gilda um tilgreinda séreign hins vegar. Honum er líka kunnugt um að hann getur fengið nánari upplýsingar varðandi valið hjá þeim lífeyrissjóði sem </w:t>
      </w:r>
      <w:r w:rsidR="00752E94">
        <w:rPr>
          <w:sz w:val="16"/>
          <w:szCs w:val="15"/>
        </w:rPr>
        <w:t>sjóðfélagi</w:t>
      </w:r>
      <w:r w:rsidRPr="00DE4D03">
        <w:rPr>
          <w:sz w:val="16"/>
          <w:szCs w:val="15"/>
        </w:rPr>
        <w:t xml:space="preserve"> greiðir samtryggingarhluta lágmarksiðgjaldsins til,</w:t>
      </w:r>
      <w:r w:rsidRPr="00DE4D03" w:rsidDel="004919A0">
        <w:rPr>
          <w:sz w:val="16"/>
          <w:szCs w:val="15"/>
        </w:rPr>
        <w:t xml:space="preserve"> </w:t>
      </w:r>
      <w:r w:rsidRPr="00DE4D03">
        <w:rPr>
          <w:sz w:val="16"/>
          <w:szCs w:val="15"/>
        </w:rPr>
        <w:t>til að átta sig á eðli réttindanna hvað ellilífeyri varðar.</w:t>
      </w:r>
    </w:p>
    <w:p w14:paraId="65E2C2A4" w14:textId="7CE04338" w:rsidR="00860D17" w:rsidRDefault="00860D17" w:rsidP="000746FC">
      <w:pPr>
        <w:rPr>
          <w:sz w:val="8"/>
        </w:rPr>
      </w:pPr>
    </w:p>
    <w:p w14:paraId="427FB002" w14:textId="77777777" w:rsidR="000746FC" w:rsidRPr="005C6BAF" w:rsidRDefault="000746FC" w:rsidP="000746FC">
      <w:pPr>
        <w:rPr>
          <w:sz w:val="8"/>
        </w:rPr>
      </w:pPr>
    </w:p>
    <w:p w14:paraId="65E2C2A5" w14:textId="77777777" w:rsidR="00860D17" w:rsidRPr="00E872DC" w:rsidRDefault="001A7EEC" w:rsidP="000746FC">
      <w:pPr>
        <w:rPr>
          <w:rFonts w:cs="Avenir-Light"/>
          <w:b/>
          <w:sz w:val="18"/>
          <w:szCs w:val="15"/>
          <w:lang w:eastAsia="en-GB"/>
        </w:rPr>
      </w:pPr>
      <w:r>
        <w:rPr>
          <w:rFonts w:cs="Avenir-Light"/>
          <w:b/>
          <w:sz w:val="18"/>
          <w:szCs w:val="15"/>
          <w:lang w:eastAsia="en-GB"/>
        </w:rPr>
        <w:t>Til áréttingar</w:t>
      </w:r>
    </w:p>
    <w:p w14:paraId="65E2C2A6" w14:textId="489907D7" w:rsidR="00860D17" w:rsidRPr="00DE4D03" w:rsidRDefault="00752E94" w:rsidP="000746FC">
      <w:pPr>
        <w:jc w:val="both"/>
        <w:rPr>
          <w:sz w:val="22"/>
        </w:rPr>
      </w:pPr>
      <w:r>
        <w:rPr>
          <w:rFonts w:cs="Avenir-Light"/>
          <w:sz w:val="16"/>
          <w:szCs w:val="15"/>
          <w:lang w:eastAsia="en-GB"/>
        </w:rPr>
        <w:t>Sjóðfélagi</w:t>
      </w:r>
      <w:r w:rsidR="00860D17" w:rsidRPr="00DE4D03">
        <w:rPr>
          <w:rFonts w:cs="Avenir-Light"/>
          <w:sz w:val="16"/>
          <w:szCs w:val="15"/>
          <w:lang w:eastAsia="en-GB"/>
        </w:rPr>
        <w:t xml:space="preserve"> gerir sér grein fyrir því að með ákvörðun um að greiða í tilgreinda séreign í stað samtryggingar hefur hann áhrif á </w:t>
      </w:r>
      <w:r w:rsidR="00B21305">
        <w:rPr>
          <w:rFonts w:cs="Avenir-Light"/>
          <w:sz w:val="16"/>
          <w:szCs w:val="15"/>
          <w:lang w:eastAsia="en-GB"/>
        </w:rPr>
        <w:t>ávinnslu þeirra</w:t>
      </w:r>
      <w:r w:rsidR="00860D17" w:rsidRPr="00DE4D03">
        <w:rPr>
          <w:rFonts w:cs="Avenir-Light"/>
          <w:sz w:val="16"/>
          <w:szCs w:val="15"/>
          <w:lang w:eastAsia="en-GB"/>
        </w:rPr>
        <w:t xml:space="preserve"> réttind</w:t>
      </w:r>
      <w:r w:rsidR="00B21305">
        <w:rPr>
          <w:rFonts w:cs="Avenir-Light"/>
          <w:sz w:val="16"/>
          <w:szCs w:val="15"/>
          <w:lang w:eastAsia="en-GB"/>
        </w:rPr>
        <w:t>a</w:t>
      </w:r>
      <w:r w:rsidR="00860D17" w:rsidRPr="00DE4D03">
        <w:rPr>
          <w:rFonts w:cs="Avenir-Light"/>
          <w:sz w:val="16"/>
          <w:szCs w:val="15"/>
          <w:lang w:eastAsia="en-GB"/>
        </w:rPr>
        <w:t xml:space="preserve"> sem iðgjöld hans mynda hjá</w:t>
      </w:r>
      <w:r w:rsidR="00B21305">
        <w:rPr>
          <w:rFonts w:cs="Avenir-Light"/>
          <w:sz w:val="16"/>
          <w:szCs w:val="15"/>
          <w:lang w:eastAsia="en-GB"/>
        </w:rPr>
        <w:t xml:space="preserve"> þeim</w:t>
      </w:r>
      <w:r w:rsidR="00860D17" w:rsidRPr="00DE4D03">
        <w:rPr>
          <w:rFonts w:cs="Avenir-Light"/>
          <w:sz w:val="16"/>
          <w:szCs w:val="15"/>
          <w:lang w:eastAsia="en-GB"/>
        </w:rPr>
        <w:t xml:space="preserve"> lífeyrissjóði</w:t>
      </w:r>
      <w:r w:rsidR="00B21305">
        <w:rPr>
          <w:rFonts w:cs="Avenir-Light"/>
          <w:sz w:val="16"/>
          <w:szCs w:val="15"/>
          <w:lang w:eastAsia="en-GB"/>
        </w:rPr>
        <w:t xml:space="preserve"> sem </w:t>
      </w:r>
      <w:r>
        <w:rPr>
          <w:rFonts w:cs="Avenir-Light"/>
          <w:sz w:val="16"/>
          <w:szCs w:val="15"/>
          <w:lang w:eastAsia="en-GB"/>
        </w:rPr>
        <w:t>sjóðfélagi</w:t>
      </w:r>
      <w:r w:rsidR="00B21305">
        <w:rPr>
          <w:rFonts w:cs="Avenir-Light"/>
          <w:sz w:val="16"/>
          <w:szCs w:val="15"/>
          <w:lang w:eastAsia="en-GB"/>
        </w:rPr>
        <w:t xml:space="preserve"> greiðir samtryggingarhluta lágmarksiðgjaldsins til</w:t>
      </w:r>
      <w:r w:rsidR="00860D17" w:rsidRPr="00DE4D03">
        <w:rPr>
          <w:rFonts w:cs="Avenir-Light"/>
          <w:sz w:val="16"/>
          <w:szCs w:val="15"/>
          <w:lang w:eastAsia="en-GB"/>
        </w:rPr>
        <w:t xml:space="preserve">. Iðgjöld í tilgreinda séreign eru séreign </w:t>
      </w:r>
      <w:r>
        <w:rPr>
          <w:rFonts w:cs="Avenir-Light"/>
          <w:sz w:val="16"/>
          <w:szCs w:val="15"/>
          <w:lang w:eastAsia="en-GB"/>
        </w:rPr>
        <w:t>sjóðfélaga</w:t>
      </w:r>
      <w:r w:rsidR="00860D17" w:rsidRPr="00DE4D03">
        <w:rPr>
          <w:rFonts w:cs="Avenir-Light"/>
          <w:sz w:val="16"/>
          <w:szCs w:val="15"/>
          <w:lang w:eastAsia="en-GB"/>
        </w:rPr>
        <w:t xml:space="preserve"> og falli </w:t>
      </w:r>
      <w:r>
        <w:rPr>
          <w:rFonts w:cs="Avenir-Light"/>
          <w:sz w:val="16"/>
          <w:szCs w:val="15"/>
          <w:lang w:eastAsia="en-GB"/>
        </w:rPr>
        <w:t>sjóðfélag</w:t>
      </w:r>
      <w:r w:rsidR="00860D17" w:rsidRPr="00DE4D03">
        <w:rPr>
          <w:rFonts w:cs="Avenir-Light"/>
          <w:sz w:val="16"/>
          <w:szCs w:val="15"/>
          <w:lang w:eastAsia="en-GB"/>
        </w:rPr>
        <w:t>i frá fellur hún til erfingja hans og skiptast skv. reglum erfðalaga. Með ráðstöfun iðgjalds í tilgreinda séreign ávinnst ekki, hvað þau iðgjöld snertir, réttur til ævilangs lífeyris, örorkulífeyris</w:t>
      </w:r>
      <w:r w:rsidR="00B21305">
        <w:rPr>
          <w:rFonts w:cs="Avenir-Light"/>
          <w:sz w:val="16"/>
          <w:szCs w:val="15"/>
          <w:lang w:eastAsia="en-GB"/>
        </w:rPr>
        <w:t xml:space="preserve"> eða makalífeyris</w:t>
      </w:r>
      <w:r w:rsidR="00860D17" w:rsidRPr="00DE4D03">
        <w:rPr>
          <w:rFonts w:cs="Avenir-Light"/>
          <w:sz w:val="16"/>
          <w:szCs w:val="15"/>
          <w:lang w:eastAsia="en-GB"/>
        </w:rPr>
        <w:t xml:space="preserve">, þ.m.t. </w:t>
      </w:r>
      <w:r w:rsidR="00B21305">
        <w:rPr>
          <w:rFonts w:cs="Avenir-Light"/>
          <w:sz w:val="16"/>
          <w:szCs w:val="15"/>
          <w:lang w:eastAsia="en-GB"/>
        </w:rPr>
        <w:t xml:space="preserve">réttur til </w:t>
      </w:r>
      <w:r w:rsidR="00860D17" w:rsidRPr="00DE4D03">
        <w:rPr>
          <w:rFonts w:cs="Avenir-Light"/>
          <w:sz w:val="16"/>
          <w:szCs w:val="15"/>
          <w:lang w:eastAsia="en-GB"/>
        </w:rPr>
        <w:t xml:space="preserve">framreiknings. Þannig er eðlismunur á þeim réttindum sem </w:t>
      </w:r>
      <w:r w:rsidR="00EE6361">
        <w:rPr>
          <w:rFonts w:cs="Avenir-Light"/>
          <w:sz w:val="14"/>
          <w:szCs w:val="14"/>
          <w:lang w:eastAsia="en-GB"/>
        </w:rPr>
        <w:t>sjóðfélagi</w:t>
      </w:r>
      <w:r w:rsidR="00860D17" w:rsidRPr="00DE4D03">
        <w:rPr>
          <w:rFonts w:cs="Avenir-Light"/>
          <w:sz w:val="16"/>
          <w:szCs w:val="15"/>
          <w:lang w:eastAsia="en-GB"/>
        </w:rPr>
        <w:t xml:space="preserve"> ávinnur sér í samtryggingu annars vegar og í tilgreindri séreign hins vegar.</w:t>
      </w:r>
    </w:p>
    <w:p w14:paraId="65E2C2A7" w14:textId="37900F86" w:rsidR="00752E3D" w:rsidRDefault="00752E3D" w:rsidP="000746FC">
      <w:pPr>
        <w:rPr>
          <w:sz w:val="8"/>
        </w:rPr>
      </w:pPr>
    </w:p>
    <w:p w14:paraId="2CB05681" w14:textId="77777777" w:rsidR="000746FC" w:rsidRPr="005C6BAF" w:rsidRDefault="000746FC" w:rsidP="000746FC">
      <w:pPr>
        <w:rPr>
          <w:sz w:val="8"/>
        </w:rPr>
      </w:pPr>
    </w:p>
    <w:p w14:paraId="65E2C2A8" w14:textId="77777777" w:rsidR="003E4554" w:rsidRPr="0096702B" w:rsidRDefault="003E4554" w:rsidP="000746FC">
      <w:pPr>
        <w:jc w:val="both"/>
        <w:rPr>
          <w:b/>
          <w:sz w:val="18"/>
          <w:szCs w:val="18"/>
        </w:rPr>
      </w:pPr>
      <w:r w:rsidRPr="0096702B">
        <w:rPr>
          <w:b/>
          <w:sz w:val="18"/>
          <w:szCs w:val="18"/>
        </w:rPr>
        <w:t>Innborgun</w:t>
      </w:r>
    </w:p>
    <w:p w14:paraId="65E2C2A9" w14:textId="0BBE2879" w:rsidR="003E4554" w:rsidRPr="008C2845" w:rsidRDefault="00752E94" w:rsidP="000746FC">
      <w:pPr>
        <w:jc w:val="both"/>
        <w:rPr>
          <w:sz w:val="16"/>
          <w:szCs w:val="16"/>
        </w:rPr>
      </w:pPr>
      <w:r>
        <w:rPr>
          <w:sz w:val="16"/>
          <w:szCs w:val="16"/>
        </w:rPr>
        <w:t>Sjóðfélagi</w:t>
      </w:r>
      <w:r w:rsidR="003E4554" w:rsidRPr="008C2845">
        <w:rPr>
          <w:sz w:val="16"/>
          <w:szCs w:val="16"/>
        </w:rPr>
        <w:t xml:space="preserve"> skuldbindur sig til að greiða mánaðarlega sem hér segir: </w:t>
      </w:r>
    </w:p>
    <w:tbl>
      <w:tblPr>
        <w:tblW w:w="5000" w:type="pct"/>
        <w:tblLayout w:type="fixed"/>
        <w:tblLook w:val="01E0" w:firstRow="1" w:lastRow="1" w:firstColumn="1" w:lastColumn="1" w:noHBand="0" w:noVBand="0"/>
      </w:tblPr>
      <w:tblGrid>
        <w:gridCol w:w="501"/>
        <w:gridCol w:w="4758"/>
        <w:gridCol w:w="350"/>
        <w:gridCol w:w="1818"/>
        <w:gridCol w:w="605"/>
        <w:gridCol w:w="2514"/>
      </w:tblGrid>
      <w:tr w:rsidR="00346FF8" w:rsidRPr="008C2845" w14:paraId="65E2C2B4" w14:textId="77777777" w:rsidTr="00431FEC">
        <w:tc>
          <w:tcPr>
            <w:tcW w:w="237" w:type="pct"/>
            <w:vAlign w:val="center"/>
          </w:tcPr>
          <w:p w14:paraId="65E2C2AA" w14:textId="77777777" w:rsidR="00431FEC" w:rsidRPr="00431FEC" w:rsidRDefault="00431FEC" w:rsidP="000746FC">
            <w:pPr>
              <w:autoSpaceDE w:val="0"/>
              <w:autoSpaceDN w:val="0"/>
              <w:adjustRightInd w:val="0"/>
              <w:rPr>
                <w:sz w:val="8"/>
                <w:szCs w:val="8"/>
              </w:rPr>
            </w:pPr>
          </w:p>
          <w:p w14:paraId="65E2C2AB" w14:textId="77777777" w:rsidR="00346FF8" w:rsidRPr="008C2845" w:rsidRDefault="00346FF8" w:rsidP="000746FC">
            <w:pPr>
              <w:autoSpaceDE w:val="0"/>
              <w:autoSpaceDN w:val="0"/>
              <w:adjustRightInd w:val="0"/>
              <w:rPr>
                <w:sz w:val="14"/>
                <w:szCs w:val="14"/>
              </w:rPr>
            </w:pPr>
            <w:r>
              <w:rPr>
                <w:sz w:val="14"/>
                <w:szCs w:val="14"/>
              </w:rPr>
              <w:fldChar w:fldCharType="begin">
                <w:ffData>
                  <w:name w:val="Check1"/>
                  <w:enabled/>
                  <w:calcOnExit w:val="0"/>
                  <w:checkBox>
                    <w:sizeAuto/>
                    <w:default w:val="0"/>
                  </w:checkBox>
                </w:ffData>
              </w:fldChar>
            </w:r>
            <w:bookmarkStart w:id="4" w:name="Check1"/>
            <w:r>
              <w:rPr>
                <w:sz w:val="14"/>
                <w:szCs w:val="14"/>
              </w:rPr>
              <w:instrText xml:space="preserve"> FORMCHECKBOX </w:instrText>
            </w:r>
            <w:r w:rsidR="00DB263C">
              <w:rPr>
                <w:sz w:val="14"/>
                <w:szCs w:val="14"/>
              </w:rPr>
            </w:r>
            <w:r w:rsidR="00DB263C">
              <w:rPr>
                <w:sz w:val="14"/>
                <w:szCs w:val="14"/>
              </w:rPr>
              <w:fldChar w:fldCharType="separate"/>
            </w:r>
            <w:r>
              <w:rPr>
                <w:sz w:val="14"/>
                <w:szCs w:val="14"/>
              </w:rPr>
              <w:fldChar w:fldCharType="end"/>
            </w:r>
            <w:bookmarkEnd w:id="4"/>
          </w:p>
        </w:tc>
        <w:tc>
          <w:tcPr>
            <w:tcW w:w="2256" w:type="pct"/>
          </w:tcPr>
          <w:p w14:paraId="65E2C2AC" w14:textId="77777777" w:rsidR="00346FF8" w:rsidRPr="00101DEC" w:rsidRDefault="00346FF8" w:rsidP="000746FC">
            <w:pPr>
              <w:autoSpaceDE w:val="0"/>
              <w:autoSpaceDN w:val="0"/>
              <w:adjustRightInd w:val="0"/>
              <w:rPr>
                <w:sz w:val="8"/>
                <w:szCs w:val="12"/>
              </w:rPr>
            </w:pPr>
          </w:p>
          <w:p w14:paraId="65E2C2AD" w14:textId="0627A2B3" w:rsidR="00346FF8" w:rsidRPr="008C2845" w:rsidRDefault="00140430" w:rsidP="000746FC">
            <w:pPr>
              <w:autoSpaceDE w:val="0"/>
              <w:autoSpaceDN w:val="0"/>
              <w:adjustRightInd w:val="0"/>
              <w:rPr>
                <w:sz w:val="14"/>
                <w:szCs w:val="14"/>
              </w:rPr>
            </w:pPr>
            <w:r>
              <w:rPr>
                <w:sz w:val="14"/>
                <w:szCs w:val="14"/>
              </w:rPr>
              <w:t>3,5</w:t>
            </w:r>
            <w:r w:rsidR="00346FF8" w:rsidRPr="008C2845">
              <w:rPr>
                <w:sz w:val="14"/>
                <w:szCs w:val="14"/>
              </w:rPr>
              <w:t>% af heildarfjárhæð greiddra launa</w:t>
            </w:r>
          </w:p>
        </w:tc>
        <w:tc>
          <w:tcPr>
            <w:tcW w:w="166" w:type="pct"/>
            <w:vAlign w:val="center"/>
          </w:tcPr>
          <w:p w14:paraId="65E2C2AE" w14:textId="77777777" w:rsidR="00431FEC" w:rsidRPr="00431FEC" w:rsidRDefault="00431FEC" w:rsidP="000746FC">
            <w:pPr>
              <w:autoSpaceDE w:val="0"/>
              <w:autoSpaceDN w:val="0"/>
              <w:adjustRightInd w:val="0"/>
              <w:rPr>
                <w:sz w:val="8"/>
                <w:szCs w:val="8"/>
              </w:rPr>
            </w:pPr>
          </w:p>
          <w:p w14:paraId="65E2C2AF" w14:textId="77777777" w:rsidR="00346FF8" w:rsidRPr="00101DEC" w:rsidRDefault="00346FF8" w:rsidP="000746FC">
            <w:pPr>
              <w:autoSpaceDE w:val="0"/>
              <w:autoSpaceDN w:val="0"/>
              <w:adjustRightInd w:val="0"/>
              <w:rPr>
                <w:sz w:val="8"/>
                <w:szCs w:val="12"/>
              </w:rPr>
            </w:pPr>
            <w:r>
              <w:rPr>
                <w:sz w:val="14"/>
                <w:szCs w:val="14"/>
              </w:rPr>
              <w:fldChar w:fldCharType="begin">
                <w:ffData>
                  <w:name w:val="Check3"/>
                  <w:enabled/>
                  <w:calcOnExit w:val="0"/>
                  <w:checkBox>
                    <w:sizeAuto/>
                    <w:default w:val="0"/>
                  </w:checkBox>
                </w:ffData>
              </w:fldChar>
            </w:r>
            <w:r>
              <w:rPr>
                <w:sz w:val="14"/>
                <w:szCs w:val="14"/>
              </w:rPr>
              <w:instrText xml:space="preserve"> FORMCHECKBOX </w:instrText>
            </w:r>
            <w:r w:rsidR="00DB263C">
              <w:rPr>
                <w:sz w:val="14"/>
                <w:szCs w:val="14"/>
              </w:rPr>
            </w:r>
            <w:r w:rsidR="00DB263C">
              <w:rPr>
                <w:sz w:val="14"/>
                <w:szCs w:val="14"/>
              </w:rPr>
              <w:fldChar w:fldCharType="separate"/>
            </w:r>
            <w:r>
              <w:rPr>
                <w:sz w:val="14"/>
                <w:szCs w:val="14"/>
              </w:rPr>
              <w:fldChar w:fldCharType="end"/>
            </w:r>
          </w:p>
        </w:tc>
        <w:tc>
          <w:tcPr>
            <w:tcW w:w="862" w:type="pct"/>
            <w:vAlign w:val="center"/>
          </w:tcPr>
          <w:p w14:paraId="65E2C2B0" w14:textId="77777777" w:rsidR="00431FEC" w:rsidRPr="00431FEC" w:rsidRDefault="00431FEC" w:rsidP="000746FC">
            <w:pPr>
              <w:autoSpaceDE w:val="0"/>
              <w:autoSpaceDN w:val="0"/>
              <w:adjustRightInd w:val="0"/>
              <w:rPr>
                <w:sz w:val="8"/>
                <w:szCs w:val="8"/>
              </w:rPr>
            </w:pPr>
          </w:p>
          <w:p w14:paraId="65E2C2B1" w14:textId="77777777" w:rsidR="00346FF8" w:rsidRPr="008C2845" w:rsidRDefault="00346FF8" w:rsidP="000746FC">
            <w:pPr>
              <w:autoSpaceDE w:val="0"/>
              <w:autoSpaceDN w:val="0"/>
              <w:adjustRightInd w:val="0"/>
              <w:rPr>
                <w:sz w:val="14"/>
                <w:szCs w:val="14"/>
              </w:rPr>
            </w:pPr>
            <w:r w:rsidRPr="008C2845">
              <w:rPr>
                <w:sz w:val="14"/>
                <w:szCs w:val="14"/>
              </w:rPr>
              <w:t>Annað hlutfall af launum</w:t>
            </w:r>
          </w:p>
        </w:tc>
        <w:tc>
          <w:tcPr>
            <w:tcW w:w="287" w:type="pct"/>
            <w:tcBorders>
              <w:bottom w:val="single" w:sz="2" w:space="0" w:color="auto"/>
            </w:tcBorders>
            <w:vAlign w:val="bottom"/>
          </w:tcPr>
          <w:p w14:paraId="65E2C2B2" w14:textId="77777777" w:rsidR="00346FF8" w:rsidRPr="008C2845" w:rsidRDefault="00595233" w:rsidP="000746FC">
            <w:pPr>
              <w:autoSpaceDE w:val="0"/>
              <w:autoSpaceDN w:val="0"/>
              <w:adjustRightInd w:val="0"/>
              <w:jc w:val="right"/>
              <w:rPr>
                <w:sz w:val="12"/>
                <w:szCs w:val="12"/>
              </w:rPr>
            </w:pPr>
            <w:r>
              <w:rPr>
                <w:sz w:val="14"/>
                <w:szCs w:val="12"/>
              </w:rPr>
              <w:fldChar w:fldCharType="begin">
                <w:ffData>
                  <w:name w:val="InnbAnnadHlutfal"/>
                  <w:enabled/>
                  <w:calcOnExit w:val="0"/>
                  <w:textInput>
                    <w:maxLength w:val="3"/>
                  </w:textInput>
                </w:ffData>
              </w:fldChar>
            </w:r>
            <w:bookmarkStart w:id="5" w:name="InnbAnnadHlutfal"/>
            <w:r>
              <w:rPr>
                <w:sz w:val="14"/>
                <w:szCs w:val="12"/>
              </w:rPr>
              <w:instrText xml:space="preserve"> FORMTEXT </w:instrText>
            </w:r>
            <w:r>
              <w:rPr>
                <w:sz w:val="14"/>
                <w:szCs w:val="12"/>
              </w:rPr>
            </w:r>
            <w:r>
              <w:rPr>
                <w:sz w:val="14"/>
                <w:szCs w:val="12"/>
              </w:rPr>
              <w:fldChar w:fldCharType="separate"/>
            </w:r>
            <w:r>
              <w:rPr>
                <w:noProof/>
                <w:sz w:val="14"/>
                <w:szCs w:val="12"/>
              </w:rPr>
              <w:t> </w:t>
            </w:r>
            <w:r>
              <w:rPr>
                <w:noProof/>
                <w:sz w:val="14"/>
                <w:szCs w:val="12"/>
              </w:rPr>
              <w:t> </w:t>
            </w:r>
            <w:r>
              <w:rPr>
                <w:noProof/>
                <w:sz w:val="14"/>
                <w:szCs w:val="12"/>
              </w:rPr>
              <w:t> </w:t>
            </w:r>
            <w:r>
              <w:rPr>
                <w:sz w:val="14"/>
                <w:szCs w:val="12"/>
              </w:rPr>
              <w:fldChar w:fldCharType="end"/>
            </w:r>
            <w:bookmarkEnd w:id="5"/>
          </w:p>
        </w:tc>
        <w:tc>
          <w:tcPr>
            <w:tcW w:w="1192" w:type="pct"/>
            <w:vAlign w:val="bottom"/>
          </w:tcPr>
          <w:p w14:paraId="65E2C2B3" w14:textId="77777777" w:rsidR="00346FF8" w:rsidRPr="008C2845" w:rsidRDefault="00346FF8" w:rsidP="000746FC">
            <w:pPr>
              <w:autoSpaceDE w:val="0"/>
              <w:autoSpaceDN w:val="0"/>
              <w:adjustRightInd w:val="0"/>
              <w:rPr>
                <w:sz w:val="12"/>
                <w:szCs w:val="12"/>
              </w:rPr>
            </w:pPr>
            <w:r>
              <w:rPr>
                <w:sz w:val="12"/>
                <w:szCs w:val="12"/>
              </w:rPr>
              <w:t>%</w:t>
            </w:r>
          </w:p>
        </w:tc>
      </w:tr>
    </w:tbl>
    <w:p w14:paraId="65E2C2B5" w14:textId="77777777" w:rsidR="003E4554" w:rsidRPr="0077225D" w:rsidRDefault="003E4554" w:rsidP="000746FC">
      <w:pPr>
        <w:jc w:val="both"/>
        <w:rPr>
          <w:sz w:val="4"/>
          <w:szCs w:val="4"/>
        </w:rPr>
      </w:pPr>
    </w:p>
    <w:p w14:paraId="65E2C2B6" w14:textId="03F37001" w:rsidR="00752E3D" w:rsidRDefault="00752E3D" w:rsidP="000746FC">
      <w:pPr>
        <w:rPr>
          <w:sz w:val="8"/>
        </w:rPr>
      </w:pPr>
    </w:p>
    <w:p w14:paraId="2D1C8160" w14:textId="77777777" w:rsidR="000746FC" w:rsidRPr="005C6BAF" w:rsidRDefault="000746FC" w:rsidP="000746FC">
      <w:pPr>
        <w:rPr>
          <w:sz w:val="8"/>
        </w:rPr>
      </w:pPr>
    </w:p>
    <w:p w14:paraId="65E2C2B7" w14:textId="4D5FD467" w:rsidR="003E4554" w:rsidRPr="0096702B" w:rsidRDefault="003E4554" w:rsidP="000746FC">
      <w:pPr>
        <w:jc w:val="both"/>
        <w:rPr>
          <w:b/>
          <w:sz w:val="18"/>
          <w:szCs w:val="18"/>
        </w:rPr>
      </w:pPr>
      <w:r w:rsidRPr="0096702B">
        <w:rPr>
          <w:b/>
          <w:sz w:val="18"/>
          <w:szCs w:val="18"/>
        </w:rPr>
        <w:t>V</w:t>
      </w:r>
      <w:r w:rsidR="00752E94">
        <w:rPr>
          <w:b/>
          <w:sz w:val="18"/>
          <w:szCs w:val="18"/>
        </w:rPr>
        <w:t>eldu þína</w:t>
      </w:r>
      <w:r w:rsidRPr="0096702B">
        <w:rPr>
          <w:b/>
          <w:sz w:val="18"/>
          <w:szCs w:val="18"/>
        </w:rPr>
        <w:t xml:space="preserve"> fjárfestingarleið</w:t>
      </w:r>
    </w:p>
    <w:p w14:paraId="65E2C2B8" w14:textId="23E63412" w:rsidR="003E4554" w:rsidRPr="00752E94" w:rsidRDefault="003E4554" w:rsidP="000746FC">
      <w:pPr>
        <w:jc w:val="both"/>
        <w:rPr>
          <w:sz w:val="16"/>
          <w:szCs w:val="16"/>
        </w:rPr>
      </w:pPr>
      <w:r>
        <w:rPr>
          <w:b/>
          <w:sz w:val="4"/>
          <w:szCs w:val="4"/>
        </w:rPr>
        <w:t xml:space="preserve"> </w:t>
      </w:r>
      <w:r w:rsidR="00752E94" w:rsidRPr="00752E94">
        <w:rPr>
          <w:sz w:val="16"/>
          <w:szCs w:val="16"/>
        </w:rPr>
        <w:t xml:space="preserve">Val þitt á fjárfestingarleið nú yfirtekur fyrra val á fjárfestingarleið og getur falið í sér flutning á milli fjárfestingarleiða, ef Ævilína er valin, sjá nánar í 6. gr. reglna um viðbótarsparnað/tilgreinda séreign Frjálsa lífeyrissjóðsins. </w:t>
      </w:r>
      <w:bookmarkStart w:id="6" w:name="_Hlk63772132"/>
      <w:r w:rsidR="00752E94" w:rsidRPr="00752E94">
        <w:rPr>
          <w:sz w:val="16"/>
          <w:szCs w:val="16"/>
        </w:rPr>
        <w:t>Val á fjárfestingarleið gildir um allar tegundir séreignar sjóðsins bæði í skyldu- og viðbótarsparnaði.</w:t>
      </w:r>
      <w:bookmarkEnd w:id="6"/>
      <w:r w:rsidR="00752E94" w:rsidRPr="00752E94">
        <w:rPr>
          <w:sz w:val="16"/>
          <w:szCs w:val="16"/>
        </w:rPr>
        <w:t xml:space="preserve"> Nánari upplýsingar um fjárfestingarleiðir, eignasamsetningu og fjárfestingarstefnu má finna á vefs</w:t>
      </w:r>
      <w:r w:rsidR="000746FC">
        <w:rPr>
          <w:sz w:val="16"/>
          <w:szCs w:val="16"/>
        </w:rPr>
        <w:t>íðu</w:t>
      </w:r>
      <w:r w:rsidR="00752E94" w:rsidRPr="00752E94">
        <w:rPr>
          <w:sz w:val="16"/>
          <w:szCs w:val="16"/>
        </w:rPr>
        <w:t xml:space="preserve"> sjóðsins </w:t>
      </w:r>
      <w:hyperlink r:id="rId14" w:history="1">
        <w:r w:rsidR="00752E94" w:rsidRPr="000746FC">
          <w:rPr>
            <w:rStyle w:val="Hyperlink"/>
            <w:sz w:val="16"/>
            <w:szCs w:val="16"/>
          </w:rPr>
          <w:t>frjalsi.is</w:t>
        </w:r>
      </w:hyperlink>
      <w:r w:rsidR="00752E94" w:rsidRPr="00752E94">
        <w:rPr>
          <w:sz w:val="16"/>
          <w:szCs w:val="16"/>
        </w:rPr>
        <w:t>. Fjárfestingarstefnan er endurskoðuð reglulega og getur breyst vegna lagabreytinga og/eða skv. ákvörðun stjórnar sjóðsins.</w:t>
      </w:r>
    </w:p>
    <w:p w14:paraId="65E2C32A" w14:textId="042E59FF" w:rsidR="003E4554" w:rsidRDefault="003E4554" w:rsidP="000746FC">
      <w:pPr>
        <w:rPr>
          <w:sz w:val="14"/>
          <w:szCs w:val="14"/>
        </w:rPr>
      </w:pPr>
    </w:p>
    <w:tbl>
      <w:tblPr>
        <w:tblStyle w:val="TableGrid"/>
        <w:tblW w:w="0" w:type="auto"/>
        <w:tblLook w:val="04A0" w:firstRow="1" w:lastRow="0" w:firstColumn="1" w:lastColumn="0" w:noHBand="0" w:noVBand="1"/>
      </w:tblPr>
      <w:tblGrid>
        <w:gridCol w:w="306"/>
        <w:gridCol w:w="255"/>
        <w:gridCol w:w="2699"/>
        <w:gridCol w:w="1675"/>
      </w:tblGrid>
      <w:tr w:rsidR="00752E94" w14:paraId="65A2A5FE" w14:textId="77777777" w:rsidTr="008A4CB1">
        <w:trPr>
          <w:trHeight w:val="283"/>
        </w:trPr>
        <w:tc>
          <w:tcPr>
            <w:tcW w:w="306" w:type="dxa"/>
            <w:tcBorders>
              <w:top w:val="nil"/>
              <w:left w:val="nil"/>
              <w:bottom w:val="single" w:sz="4" w:space="0" w:color="auto"/>
              <w:right w:val="nil"/>
            </w:tcBorders>
            <w:vAlign w:val="center"/>
          </w:tcPr>
          <w:p w14:paraId="497AF475" w14:textId="77777777" w:rsidR="00752E94" w:rsidRDefault="00752E94" w:rsidP="000746FC">
            <w:pPr>
              <w:rPr>
                <w:rStyle w:val="SubtleEmphasis"/>
              </w:rPr>
            </w:pPr>
          </w:p>
        </w:tc>
        <w:tc>
          <w:tcPr>
            <w:tcW w:w="255" w:type="dxa"/>
            <w:tcBorders>
              <w:top w:val="nil"/>
              <w:left w:val="nil"/>
              <w:bottom w:val="nil"/>
              <w:right w:val="nil"/>
            </w:tcBorders>
          </w:tcPr>
          <w:p w14:paraId="0D010453" w14:textId="77777777" w:rsidR="00752E94" w:rsidRPr="009E25B1" w:rsidRDefault="00752E94" w:rsidP="000746FC">
            <w:pPr>
              <w:rPr>
                <w:rStyle w:val="SubtleEmphasis"/>
              </w:rPr>
            </w:pPr>
          </w:p>
        </w:tc>
        <w:tc>
          <w:tcPr>
            <w:tcW w:w="2699" w:type="dxa"/>
            <w:tcBorders>
              <w:top w:val="nil"/>
              <w:left w:val="nil"/>
              <w:bottom w:val="single" w:sz="2" w:space="0" w:color="auto"/>
              <w:right w:val="nil"/>
            </w:tcBorders>
            <w:vAlign w:val="center"/>
          </w:tcPr>
          <w:p w14:paraId="7B0F9321" w14:textId="77777777" w:rsidR="00752E94" w:rsidRPr="000517C7" w:rsidRDefault="00752E94" w:rsidP="000746FC">
            <w:pPr>
              <w:rPr>
                <w:rStyle w:val="SubtleEmphasis"/>
                <w:b/>
              </w:rPr>
            </w:pPr>
            <w:r>
              <w:rPr>
                <w:rStyle w:val="SubtleEmphasis"/>
                <w:b/>
              </w:rPr>
              <w:t>Fjárfestingaleið</w:t>
            </w:r>
          </w:p>
        </w:tc>
        <w:tc>
          <w:tcPr>
            <w:tcW w:w="1675" w:type="dxa"/>
            <w:tcBorders>
              <w:top w:val="nil"/>
              <w:left w:val="nil"/>
              <w:bottom w:val="single" w:sz="2" w:space="0" w:color="auto"/>
              <w:right w:val="nil"/>
            </w:tcBorders>
            <w:vAlign w:val="center"/>
          </w:tcPr>
          <w:p w14:paraId="1F8C54EC" w14:textId="77777777" w:rsidR="00752E94" w:rsidRPr="000517C7" w:rsidRDefault="00752E94" w:rsidP="000746FC">
            <w:pPr>
              <w:rPr>
                <w:rStyle w:val="SubtleEmphasis"/>
                <w:b/>
              </w:rPr>
            </w:pPr>
            <w:r>
              <w:rPr>
                <w:rStyle w:val="SubtleEmphasis"/>
                <w:b/>
              </w:rPr>
              <w:t>Ævilína</w:t>
            </w:r>
          </w:p>
        </w:tc>
      </w:tr>
      <w:tr w:rsidR="00752E94" w14:paraId="54A24B0A" w14:textId="77777777" w:rsidTr="008A4CB1">
        <w:trPr>
          <w:trHeight w:val="283"/>
        </w:trPr>
        <w:tc>
          <w:tcPr>
            <w:tcW w:w="306" w:type="dxa"/>
            <w:tcBorders>
              <w:top w:val="single" w:sz="4" w:space="0" w:color="auto"/>
              <w:left w:val="single" w:sz="4" w:space="0" w:color="auto"/>
              <w:bottom w:val="single" w:sz="4" w:space="0" w:color="auto"/>
              <w:right w:val="single" w:sz="4" w:space="0" w:color="auto"/>
            </w:tcBorders>
            <w:vAlign w:val="center"/>
          </w:tcPr>
          <w:p w14:paraId="2BC6ED52" w14:textId="77777777" w:rsidR="00752E94" w:rsidRDefault="00752E94" w:rsidP="000746FC">
            <w:pPr>
              <w:rPr>
                <w:rStyle w:val="SubtleEmphasis"/>
              </w:rPr>
            </w:pPr>
            <w:r>
              <w:rPr>
                <w:rStyle w:val="SubtleEmphasis"/>
              </w:rPr>
              <w:fldChar w:fldCharType="begin">
                <w:ffData>
                  <w:name w:val="SPARN_AEVIL_FRJALSI"/>
                  <w:enabled/>
                  <w:calcOnExit w:val="0"/>
                  <w:textInput>
                    <w:maxLength w:val="1"/>
                  </w:textInput>
                </w:ffData>
              </w:fldChar>
            </w:r>
            <w:bookmarkStart w:id="7" w:name="SPARN_AEVIL_FRJALSI"/>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rPr>
              <w:fldChar w:fldCharType="end"/>
            </w:r>
            <w:bookmarkEnd w:id="7"/>
          </w:p>
        </w:tc>
        <w:tc>
          <w:tcPr>
            <w:tcW w:w="255" w:type="dxa"/>
            <w:tcBorders>
              <w:top w:val="nil"/>
              <w:left w:val="single" w:sz="4" w:space="0" w:color="auto"/>
              <w:bottom w:val="nil"/>
              <w:right w:val="nil"/>
            </w:tcBorders>
          </w:tcPr>
          <w:p w14:paraId="098B39C9" w14:textId="77777777" w:rsidR="00752E94" w:rsidRPr="009E25B1" w:rsidRDefault="00752E94" w:rsidP="000746FC">
            <w:pPr>
              <w:rPr>
                <w:rStyle w:val="SubtleEmphasis"/>
              </w:rPr>
            </w:pPr>
          </w:p>
        </w:tc>
        <w:tc>
          <w:tcPr>
            <w:tcW w:w="2699" w:type="dxa"/>
            <w:tcBorders>
              <w:top w:val="single" w:sz="2" w:space="0" w:color="auto"/>
              <w:left w:val="nil"/>
              <w:bottom w:val="single" w:sz="2" w:space="0" w:color="auto"/>
              <w:right w:val="nil"/>
            </w:tcBorders>
            <w:vAlign w:val="center"/>
          </w:tcPr>
          <w:p w14:paraId="3D348313" w14:textId="77777777" w:rsidR="00752E94" w:rsidRDefault="00752E94" w:rsidP="000746FC">
            <w:pPr>
              <w:rPr>
                <w:rStyle w:val="SubtleEmphasis"/>
              </w:rPr>
            </w:pPr>
            <w:r>
              <w:rPr>
                <w:rStyle w:val="SubtleEmphasis"/>
              </w:rPr>
              <w:t>Ævilína</w:t>
            </w:r>
          </w:p>
        </w:tc>
        <w:tc>
          <w:tcPr>
            <w:tcW w:w="1675" w:type="dxa"/>
            <w:tcBorders>
              <w:top w:val="single" w:sz="2" w:space="0" w:color="auto"/>
              <w:left w:val="nil"/>
              <w:bottom w:val="single" w:sz="2" w:space="0" w:color="auto"/>
              <w:right w:val="nil"/>
            </w:tcBorders>
            <w:vAlign w:val="center"/>
          </w:tcPr>
          <w:p w14:paraId="22954C71" w14:textId="55C90AE1" w:rsidR="00752E94" w:rsidRDefault="000746FC" w:rsidP="000746FC">
            <w:pPr>
              <w:rPr>
                <w:rStyle w:val="SubtleEmphasis"/>
              </w:rPr>
            </w:pPr>
            <w:r>
              <w:rPr>
                <w:rStyle w:val="SubtleEmphasis"/>
              </w:rPr>
              <w:t xml:space="preserve">Frjálsi </w:t>
            </w:r>
            <w:r w:rsidR="00752E94">
              <w:rPr>
                <w:rStyle w:val="SubtleEmphasis"/>
              </w:rPr>
              <w:t>1-3</w:t>
            </w:r>
          </w:p>
        </w:tc>
      </w:tr>
      <w:tr w:rsidR="00752E94" w14:paraId="5EF2A15C" w14:textId="77777777" w:rsidTr="008A4CB1">
        <w:trPr>
          <w:trHeight w:val="283"/>
        </w:trPr>
        <w:tc>
          <w:tcPr>
            <w:tcW w:w="306" w:type="dxa"/>
            <w:tcBorders>
              <w:top w:val="single" w:sz="4" w:space="0" w:color="auto"/>
              <w:left w:val="single" w:sz="4" w:space="0" w:color="auto"/>
              <w:bottom w:val="single" w:sz="4" w:space="0" w:color="auto"/>
              <w:right w:val="single" w:sz="4" w:space="0" w:color="auto"/>
            </w:tcBorders>
            <w:vAlign w:val="center"/>
          </w:tcPr>
          <w:p w14:paraId="71259D1D" w14:textId="77777777" w:rsidR="00752E94" w:rsidRDefault="00752E94" w:rsidP="000746FC">
            <w:pPr>
              <w:rPr>
                <w:rStyle w:val="SubtleEmphasis"/>
              </w:rPr>
            </w:pPr>
            <w:r>
              <w:rPr>
                <w:rStyle w:val="SubtleEmphasis"/>
              </w:rPr>
              <w:fldChar w:fldCharType="begin">
                <w:ffData>
                  <w:name w:val="SPARN_FRJALSI1"/>
                  <w:enabled/>
                  <w:calcOnExit w:val="0"/>
                  <w:textInput>
                    <w:maxLength w:val="1"/>
                  </w:textInput>
                </w:ffData>
              </w:fldChar>
            </w:r>
            <w:bookmarkStart w:id="8" w:name="SPARN_FRJALSI1"/>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rPr>
              <w:fldChar w:fldCharType="end"/>
            </w:r>
            <w:bookmarkEnd w:id="8"/>
          </w:p>
        </w:tc>
        <w:tc>
          <w:tcPr>
            <w:tcW w:w="255" w:type="dxa"/>
            <w:tcBorders>
              <w:top w:val="nil"/>
              <w:left w:val="single" w:sz="4" w:space="0" w:color="auto"/>
              <w:bottom w:val="nil"/>
              <w:right w:val="nil"/>
            </w:tcBorders>
          </w:tcPr>
          <w:p w14:paraId="4B09639C" w14:textId="77777777" w:rsidR="00752E94" w:rsidRPr="009E25B1" w:rsidRDefault="00752E94" w:rsidP="000746FC">
            <w:pPr>
              <w:rPr>
                <w:rStyle w:val="SubtleEmphasis"/>
              </w:rPr>
            </w:pPr>
          </w:p>
        </w:tc>
        <w:tc>
          <w:tcPr>
            <w:tcW w:w="2699" w:type="dxa"/>
            <w:tcBorders>
              <w:top w:val="single" w:sz="2" w:space="0" w:color="auto"/>
              <w:left w:val="nil"/>
              <w:bottom w:val="single" w:sz="2" w:space="0" w:color="auto"/>
              <w:right w:val="nil"/>
            </w:tcBorders>
            <w:vAlign w:val="center"/>
          </w:tcPr>
          <w:p w14:paraId="423F3E19" w14:textId="77777777" w:rsidR="00752E94" w:rsidRDefault="00752E94" w:rsidP="000746FC">
            <w:pPr>
              <w:rPr>
                <w:rStyle w:val="SubtleEmphasis"/>
              </w:rPr>
            </w:pPr>
            <w:r>
              <w:rPr>
                <w:rStyle w:val="SubtleEmphasis"/>
              </w:rPr>
              <w:t>Frjálsi 1</w:t>
            </w:r>
          </w:p>
        </w:tc>
        <w:tc>
          <w:tcPr>
            <w:tcW w:w="1675" w:type="dxa"/>
            <w:tcBorders>
              <w:top w:val="single" w:sz="2" w:space="0" w:color="auto"/>
              <w:left w:val="nil"/>
              <w:bottom w:val="single" w:sz="2" w:space="0" w:color="auto"/>
              <w:right w:val="nil"/>
            </w:tcBorders>
            <w:vAlign w:val="center"/>
          </w:tcPr>
          <w:p w14:paraId="0F3E2A8A" w14:textId="77777777" w:rsidR="00752E94" w:rsidRDefault="00752E94" w:rsidP="000746FC">
            <w:pPr>
              <w:rPr>
                <w:rStyle w:val="SubtleEmphasis"/>
              </w:rPr>
            </w:pPr>
            <w:r>
              <w:rPr>
                <w:rStyle w:val="SubtleEmphasis"/>
              </w:rPr>
              <w:t>54 ára og yngri</w:t>
            </w:r>
          </w:p>
        </w:tc>
      </w:tr>
      <w:tr w:rsidR="00752E94" w14:paraId="4830253C" w14:textId="77777777" w:rsidTr="008A4CB1">
        <w:trPr>
          <w:trHeight w:val="283"/>
        </w:trPr>
        <w:tc>
          <w:tcPr>
            <w:tcW w:w="306" w:type="dxa"/>
            <w:tcBorders>
              <w:top w:val="single" w:sz="4" w:space="0" w:color="auto"/>
              <w:left w:val="single" w:sz="4" w:space="0" w:color="auto"/>
              <w:bottom w:val="single" w:sz="4" w:space="0" w:color="auto"/>
              <w:right w:val="single" w:sz="4" w:space="0" w:color="auto"/>
            </w:tcBorders>
            <w:vAlign w:val="center"/>
          </w:tcPr>
          <w:p w14:paraId="1D252D3A" w14:textId="77777777" w:rsidR="00752E94" w:rsidRDefault="00752E94" w:rsidP="000746FC">
            <w:pPr>
              <w:rPr>
                <w:rStyle w:val="SubtleEmphasis"/>
              </w:rPr>
            </w:pPr>
            <w:r>
              <w:rPr>
                <w:rStyle w:val="SubtleEmphasis"/>
              </w:rPr>
              <w:fldChar w:fldCharType="begin">
                <w:ffData>
                  <w:name w:val="SPARN_FRJALSI2"/>
                  <w:enabled/>
                  <w:calcOnExit w:val="0"/>
                  <w:textInput>
                    <w:maxLength w:val="1"/>
                  </w:textInput>
                </w:ffData>
              </w:fldChar>
            </w:r>
            <w:bookmarkStart w:id="9" w:name="SPARN_FRJALSI2"/>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rPr>
              <w:fldChar w:fldCharType="end"/>
            </w:r>
            <w:bookmarkEnd w:id="9"/>
          </w:p>
        </w:tc>
        <w:tc>
          <w:tcPr>
            <w:tcW w:w="255" w:type="dxa"/>
            <w:tcBorders>
              <w:top w:val="nil"/>
              <w:left w:val="single" w:sz="4" w:space="0" w:color="auto"/>
              <w:bottom w:val="nil"/>
              <w:right w:val="nil"/>
            </w:tcBorders>
          </w:tcPr>
          <w:p w14:paraId="3644C5A4" w14:textId="77777777" w:rsidR="00752E94" w:rsidRPr="009E25B1" w:rsidRDefault="00752E94" w:rsidP="000746FC">
            <w:pPr>
              <w:rPr>
                <w:rStyle w:val="SubtleEmphasis"/>
              </w:rPr>
            </w:pPr>
          </w:p>
        </w:tc>
        <w:tc>
          <w:tcPr>
            <w:tcW w:w="2699" w:type="dxa"/>
            <w:tcBorders>
              <w:top w:val="single" w:sz="2" w:space="0" w:color="auto"/>
              <w:left w:val="nil"/>
              <w:bottom w:val="single" w:sz="2" w:space="0" w:color="auto"/>
              <w:right w:val="nil"/>
            </w:tcBorders>
            <w:vAlign w:val="center"/>
          </w:tcPr>
          <w:p w14:paraId="075EE791" w14:textId="77777777" w:rsidR="00752E94" w:rsidRDefault="00752E94" w:rsidP="000746FC">
            <w:pPr>
              <w:rPr>
                <w:rStyle w:val="SubtleEmphasis"/>
              </w:rPr>
            </w:pPr>
            <w:r>
              <w:rPr>
                <w:rStyle w:val="SubtleEmphasis"/>
              </w:rPr>
              <w:t>Frjálsi 2</w:t>
            </w:r>
          </w:p>
        </w:tc>
        <w:tc>
          <w:tcPr>
            <w:tcW w:w="1675" w:type="dxa"/>
            <w:tcBorders>
              <w:top w:val="single" w:sz="2" w:space="0" w:color="auto"/>
              <w:left w:val="nil"/>
              <w:bottom w:val="single" w:sz="2" w:space="0" w:color="auto"/>
              <w:right w:val="nil"/>
            </w:tcBorders>
            <w:vAlign w:val="center"/>
          </w:tcPr>
          <w:p w14:paraId="5EE667FC" w14:textId="77777777" w:rsidR="00752E94" w:rsidRDefault="00752E94" w:rsidP="000746FC">
            <w:pPr>
              <w:rPr>
                <w:rStyle w:val="SubtleEmphasis"/>
              </w:rPr>
            </w:pPr>
            <w:r>
              <w:rPr>
                <w:rStyle w:val="SubtleEmphasis"/>
              </w:rPr>
              <w:t>55 ára og eldri</w:t>
            </w:r>
          </w:p>
        </w:tc>
      </w:tr>
      <w:tr w:rsidR="00752E94" w14:paraId="0C9DF66D" w14:textId="77777777" w:rsidTr="008A4CB1">
        <w:trPr>
          <w:trHeight w:val="283"/>
        </w:trPr>
        <w:tc>
          <w:tcPr>
            <w:tcW w:w="306" w:type="dxa"/>
            <w:tcBorders>
              <w:top w:val="single" w:sz="4" w:space="0" w:color="auto"/>
              <w:left w:val="single" w:sz="4" w:space="0" w:color="auto"/>
              <w:bottom w:val="single" w:sz="4" w:space="0" w:color="auto"/>
              <w:right w:val="single" w:sz="4" w:space="0" w:color="auto"/>
            </w:tcBorders>
            <w:vAlign w:val="center"/>
          </w:tcPr>
          <w:p w14:paraId="7A113DD8" w14:textId="77777777" w:rsidR="00752E94" w:rsidRDefault="00752E94" w:rsidP="000746FC">
            <w:pPr>
              <w:rPr>
                <w:rStyle w:val="SubtleEmphasis"/>
              </w:rPr>
            </w:pPr>
            <w:r>
              <w:rPr>
                <w:rStyle w:val="SubtleEmphasis"/>
              </w:rPr>
              <w:fldChar w:fldCharType="begin">
                <w:ffData>
                  <w:name w:val="SPARN_FRJALSI3"/>
                  <w:enabled/>
                  <w:calcOnExit w:val="0"/>
                  <w:textInput>
                    <w:maxLength w:val="1"/>
                  </w:textInput>
                </w:ffData>
              </w:fldChar>
            </w:r>
            <w:bookmarkStart w:id="10" w:name="SPARN_FRJALSI3"/>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rPr>
              <w:fldChar w:fldCharType="end"/>
            </w:r>
            <w:bookmarkEnd w:id="10"/>
          </w:p>
        </w:tc>
        <w:tc>
          <w:tcPr>
            <w:tcW w:w="255" w:type="dxa"/>
            <w:tcBorders>
              <w:top w:val="nil"/>
              <w:left w:val="single" w:sz="4" w:space="0" w:color="auto"/>
              <w:bottom w:val="nil"/>
              <w:right w:val="nil"/>
            </w:tcBorders>
          </w:tcPr>
          <w:p w14:paraId="027E7984" w14:textId="77777777" w:rsidR="00752E94" w:rsidRPr="009E25B1" w:rsidRDefault="00752E94" w:rsidP="000746FC">
            <w:pPr>
              <w:rPr>
                <w:rStyle w:val="SubtleEmphasis"/>
              </w:rPr>
            </w:pPr>
          </w:p>
        </w:tc>
        <w:tc>
          <w:tcPr>
            <w:tcW w:w="2699" w:type="dxa"/>
            <w:tcBorders>
              <w:top w:val="single" w:sz="2" w:space="0" w:color="auto"/>
              <w:left w:val="nil"/>
              <w:bottom w:val="single" w:sz="2" w:space="0" w:color="auto"/>
              <w:right w:val="nil"/>
            </w:tcBorders>
            <w:vAlign w:val="center"/>
          </w:tcPr>
          <w:p w14:paraId="49085BC0" w14:textId="77777777" w:rsidR="00752E94" w:rsidRDefault="00752E94" w:rsidP="000746FC">
            <w:pPr>
              <w:rPr>
                <w:rStyle w:val="SubtleEmphasis"/>
              </w:rPr>
            </w:pPr>
            <w:r>
              <w:rPr>
                <w:rStyle w:val="SubtleEmphasis"/>
              </w:rPr>
              <w:t>Frjálsi 3</w:t>
            </w:r>
          </w:p>
        </w:tc>
        <w:tc>
          <w:tcPr>
            <w:tcW w:w="1675" w:type="dxa"/>
            <w:tcBorders>
              <w:top w:val="single" w:sz="2" w:space="0" w:color="auto"/>
              <w:left w:val="nil"/>
              <w:bottom w:val="single" w:sz="2" w:space="0" w:color="auto"/>
              <w:right w:val="nil"/>
            </w:tcBorders>
            <w:vAlign w:val="center"/>
          </w:tcPr>
          <w:p w14:paraId="60B4A154" w14:textId="77777777" w:rsidR="00752E94" w:rsidRDefault="00752E94" w:rsidP="000746FC">
            <w:pPr>
              <w:rPr>
                <w:rStyle w:val="SubtleEmphasis"/>
              </w:rPr>
            </w:pPr>
            <w:r>
              <w:rPr>
                <w:rStyle w:val="SubtleEmphasis"/>
              </w:rPr>
              <w:t>Lífeyrisþegar</w:t>
            </w:r>
          </w:p>
        </w:tc>
      </w:tr>
      <w:tr w:rsidR="00752E94" w14:paraId="2D0F25EE" w14:textId="77777777" w:rsidTr="008A4CB1">
        <w:trPr>
          <w:trHeight w:val="283"/>
        </w:trPr>
        <w:tc>
          <w:tcPr>
            <w:tcW w:w="306" w:type="dxa"/>
            <w:tcBorders>
              <w:top w:val="single" w:sz="4" w:space="0" w:color="auto"/>
              <w:left w:val="single" w:sz="4" w:space="0" w:color="auto"/>
              <w:bottom w:val="single" w:sz="4" w:space="0" w:color="auto"/>
              <w:right w:val="single" w:sz="4" w:space="0" w:color="auto"/>
            </w:tcBorders>
            <w:vAlign w:val="center"/>
          </w:tcPr>
          <w:p w14:paraId="23035E16" w14:textId="77777777" w:rsidR="00752E94" w:rsidRDefault="00752E94" w:rsidP="000746FC">
            <w:pPr>
              <w:rPr>
                <w:rStyle w:val="SubtleEmphasis"/>
              </w:rPr>
            </w:pPr>
            <w:r>
              <w:rPr>
                <w:rStyle w:val="SubtleEmphasis"/>
              </w:rPr>
              <w:fldChar w:fldCharType="begin">
                <w:ffData>
                  <w:name w:val="SPARN_FRJALSI_AHAETT"/>
                  <w:enabled/>
                  <w:calcOnExit w:val="0"/>
                  <w:textInput>
                    <w:maxLength w:val="1"/>
                  </w:textInput>
                </w:ffData>
              </w:fldChar>
            </w:r>
            <w:bookmarkStart w:id="11" w:name="SPARN_FRJALSI_AHAETT"/>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rPr>
              <w:fldChar w:fldCharType="end"/>
            </w:r>
            <w:bookmarkEnd w:id="11"/>
          </w:p>
        </w:tc>
        <w:tc>
          <w:tcPr>
            <w:tcW w:w="255" w:type="dxa"/>
            <w:tcBorders>
              <w:top w:val="nil"/>
              <w:left w:val="single" w:sz="4" w:space="0" w:color="auto"/>
              <w:bottom w:val="nil"/>
              <w:right w:val="nil"/>
            </w:tcBorders>
          </w:tcPr>
          <w:p w14:paraId="533D2518" w14:textId="77777777" w:rsidR="00752E94" w:rsidRPr="009E25B1" w:rsidRDefault="00752E94" w:rsidP="000746FC">
            <w:pPr>
              <w:rPr>
                <w:rStyle w:val="SubtleEmphasis"/>
              </w:rPr>
            </w:pPr>
          </w:p>
        </w:tc>
        <w:tc>
          <w:tcPr>
            <w:tcW w:w="2699" w:type="dxa"/>
            <w:tcBorders>
              <w:top w:val="single" w:sz="2" w:space="0" w:color="auto"/>
              <w:left w:val="nil"/>
              <w:bottom w:val="single" w:sz="2" w:space="0" w:color="auto"/>
              <w:right w:val="nil"/>
            </w:tcBorders>
            <w:vAlign w:val="center"/>
          </w:tcPr>
          <w:p w14:paraId="6BC4DEE9" w14:textId="24834746" w:rsidR="00752E94" w:rsidRDefault="00752E94" w:rsidP="000746FC">
            <w:pPr>
              <w:rPr>
                <w:rStyle w:val="SubtleEmphasis"/>
              </w:rPr>
            </w:pPr>
            <w:r>
              <w:rPr>
                <w:rStyle w:val="SubtleEmphasis"/>
              </w:rPr>
              <w:t xml:space="preserve">Frjálsi </w:t>
            </w:r>
            <w:r w:rsidR="000746FC">
              <w:rPr>
                <w:rStyle w:val="SubtleEmphasis"/>
              </w:rPr>
              <w:t>á</w:t>
            </w:r>
            <w:r>
              <w:rPr>
                <w:rStyle w:val="SubtleEmphasis"/>
              </w:rPr>
              <w:t>hætta</w:t>
            </w:r>
          </w:p>
        </w:tc>
        <w:tc>
          <w:tcPr>
            <w:tcW w:w="1675" w:type="dxa"/>
            <w:tcBorders>
              <w:top w:val="single" w:sz="2" w:space="0" w:color="auto"/>
              <w:left w:val="nil"/>
              <w:bottom w:val="single" w:sz="2" w:space="0" w:color="auto"/>
              <w:right w:val="nil"/>
            </w:tcBorders>
            <w:vAlign w:val="center"/>
          </w:tcPr>
          <w:p w14:paraId="7AA87EA3" w14:textId="77777777" w:rsidR="00752E94" w:rsidRDefault="00752E94" w:rsidP="000746FC">
            <w:pPr>
              <w:rPr>
                <w:rStyle w:val="SubtleEmphasis"/>
              </w:rPr>
            </w:pPr>
          </w:p>
        </w:tc>
      </w:tr>
    </w:tbl>
    <w:p w14:paraId="65E2C347" w14:textId="77777777" w:rsidR="003E4554" w:rsidRPr="008C2845" w:rsidRDefault="003E4554" w:rsidP="000746FC">
      <w:pPr>
        <w:autoSpaceDE w:val="0"/>
        <w:autoSpaceDN w:val="0"/>
        <w:adjustRightInd w:val="0"/>
        <w:rPr>
          <w:rFonts w:cs="Avenir-Roman"/>
          <w:sz w:val="4"/>
          <w:szCs w:val="4"/>
          <w:lang w:eastAsia="en-GB"/>
        </w:rPr>
      </w:pPr>
    </w:p>
    <w:p w14:paraId="3054C40A" w14:textId="77777777" w:rsidR="000746FC" w:rsidRDefault="000746FC" w:rsidP="000746FC">
      <w:pPr>
        <w:autoSpaceDE w:val="0"/>
        <w:autoSpaceDN w:val="0"/>
        <w:adjustRightInd w:val="0"/>
        <w:jc w:val="both"/>
        <w:rPr>
          <w:rFonts w:cs="Avenir-Roman"/>
          <w:sz w:val="16"/>
          <w:szCs w:val="17"/>
          <w:lang w:eastAsia="en-GB"/>
        </w:rPr>
      </w:pPr>
    </w:p>
    <w:p w14:paraId="51774787" w14:textId="77777777" w:rsidR="000746FC" w:rsidRDefault="000746FC" w:rsidP="000746FC">
      <w:pPr>
        <w:autoSpaceDE w:val="0"/>
        <w:autoSpaceDN w:val="0"/>
        <w:adjustRightInd w:val="0"/>
        <w:jc w:val="both"/>
        <w:rPr>
          <w:rFonts w:cs="Avenir-Roman"/>
          <w:sz w:val="16"/>
          <w:szCs w:val="17"/>
          <w:lang w:eastAsia="en-GB"/>
        </w:rPr>
      </w:pPr>
    </w:p>
    <w:p w14:paraId="65E2C348" w14:textId="3EF17DE3" w:rsidR="003E4554" w:rsidRPr="00752E94" w:rsidRDefault="003E4554" w:rsidP="000746FC">
      <w:pPr>
        <w:autoSpaceDE w:val="0"/>
        <w:autoSpaceDN w:val="0"/>
        <w:adjustRightInd w:val="0"/>
        <w:jc w:val="both"/>
        <w:rPr>
          <w:rFonts w:cs="Avenir-Roman"/>
          <w:sz w:val="16"/>
          <w:szCs w:val="17"/>
          <w:lang w:eastAsia="en-GB"/>
        </w:rPr>
      </w:pPr>
      <w:r w:rsidRPr="00752E94">
        <w:rPr>
          <w:rFonts w:cs="Avenir-Roman"/>
          <w:sz w:val="16"/>
          <w:szCs w:val="17"/>
          <w:lang w:eastAsia="en-GB"/>
        </w:rPr>
        <w:t xml:space="preserve">Frjálsi lífeyrissjóðurinn sendir ofangreindum launagreiðanda afrit af samningi </w:t>
      </w:r>
      <w:r w:rsidR="00DA336E" w:rsidRPr="00752E94">
        <w:rPr>
          <w:rFonts w:cs="Avenir-Roman"/>
          <w:sz w:val="16"/>
          <w:szCs w:val="17"/>
          <w:lang w:eastAsia="en-GB"/>
        </w:rPr>
        <w:t>þessum</w:t>
      </w:r>
      <w:r w:rsidRPr="00752E94">
        <w:rPr>
          <w:rFonts w:cs="Avenir-Roman"/>
          <w:sz w:val="16"/>
          <w:szCs w:val="17"/>
          <w:lang w:eastAsia="en-GB"/>
        </w:rPr>
        <w:t xml:space="preserve"> við undirskrift samnings. Berist Frjálsa lífeyrissjóðnum upplýsin</w:t>
      </w:r>
      <w:r w:rsidR="008F56BB" w:rsidRPr="00752E94">
        <w:rPr>
          <w:rFonts w:cs="Avenir-Roman"/>
          <w:sz w:val="16"/>
          <w:szCs w:val="17"/>
          <w:lang w:eastAsia="en-GB"/>
        </w:rPr>
        <w:t xml:space="preserve">gar frá </w:t>
      </w:r>
      <w:r w:rsidR="00752E94">
        <w:rPr>
          <w:rFonts w:cs="Avenir-Roman"/>
          <w:sz w:val="16"/>
          <w:szCs w:val="17"/>
          <w:lang w:eastAsia="en-GB"/>
        </w:rPr>
        <w:t>sjóðfélaga</w:t>
      </w:r>
      <w:r w:rsidR="008F56BB" w:rsidRPr="00752E94">
        <w:rPr>
          <w:rFonts w:cs="Avenir-Roman"/>
          <w:sz w:val="16"/>
          <w:szCs w:val="17"/>
          <w:lang w:eastAsia="en-GB"/>
        </w:rPr>
        <w:t xml:space="preserve"> um</w:t>
      </w:r>
      <w:r w:rsidR="00752E94">
        <w:rPr>
          <w:rFonts w:cs="Avenir-Roman"/>
          <w:sz w:val="16"/>
          <w:szCs w:val="17"/>
          <w:lang w:eastAsia="en-GB"/>
        </w:rPr>
        <w:t xml:space="preserve"> </w:t>
      </w:r>
      <w:r w:rsidR="008F56BB" w:rsidRPr="00752E94">
        <w:rPr>
          <w:rFonts w:cs="Avenir-Roman"/>
          <w:sz w:val="16"/>
          <w:szCs w:val="17"/>
          <w:lang w:eastAsia="en-GB"/>
        </w:rPr>
        <w:t>nýjan launa</w:t>
      </w:r>
      <w:r w:rsidRPr="00752E94">
        <w:rPr>
          <w:rFonts w:cs="Avenir-Roman"/>
          <w:sz w:val="16"/>
          <w:szCs w:val="17"/>
          <w:lang w:eastAsia="en-GB"/>
        </w:rPr>
        <w:t>greiðanda, sendir Frjálsi lífeyrissjóðurinn nýjum launagrei</w:t>
      </w:r>
      <w:r w:rsidR="008F56BB" w:rsidRPr="00752E94">
        <w:rPr>
          <w:rFonts w:cs="Avenir-Roman"/>
          <w:sz w:val="16"/>
          <w:szCs w:val="17"/>
          <w:lang w:eastAsia="en-GB"/>
        </w:rPr>
        <w:t xml:space="preserve">ðanda afrit af samningi þessum. </w:t>
      </w:r>
      <w:r w:rsidRPr="00752E94">
        <w:rPr>
          <w:rFonts w:cs="Avenir-Roman"/>
          <w:sz w:val="16"/>
          <w:szCs w:val="17"/>
          <w:lang w:eastAsia="en-GB"/>
        </w:rPr>
        <w:t>Launagreiðanda er skylt að halda eftir af lau</w:t>
      </w:r>
      <w:r w:rsidR="008F56BB" w:rsidRPr="00752E94">
        <w:rPr>
          <w:rFonts w:cs="Avenir-Roman"/>
          <w:sz w:val="16"/>
          <w:szCs w:val="17"/>
          <w:lang w:eastAsia="en-GB"/>
        </w:rPr>
        <w:t xml:space="preserve">num iðgjaldi </w:t>
      </w:r>
      <w:r w:rsidR="00752E94">
        <w:rPr>
          <w:rFonts w:cs="Avenir-Roman"/>
          <w:sz w:val="16"/>
          <w:szCs w:val="17"/>
          <w:lang w:eastAsia="en-GB"/>
        </w:rPr>
        <w:t>sjóðfélag</w:t>
      </w:r>
      <w:r w:rsidR="008F56BB" w:rsidRPr="00752E94">
        <w:rPr>
          <w:rFonts w:cs="Avenir-Roman"/>
          <w:sz w:val="16"/>
          <w:szCs w:val="17"/>
          <w:lang w:eastAsia="en-GB"/>
        </w:rPr>
        <w:t xml:space="preserve">a og standa </w:t>
      </w:r>
      <w:r w:rsidRPr="00752E94">
        <w:rPr>
          <w:rFonts w:cs="Avenir-Roman"/>
          <w:sz w:val="16"/>
          <w:szCs w:val="17"/>
          <w:lang w:eastAsia="en-GB"/>
        </w:rPr>
        <w:t>skil á því ásamt mótframlagi sínu, samkvæmt 7. gr. laga nr. 129/1997 með síðari breytingum.</w:t>
      </w:r>
    </w:p>
    <w:p w14:paraId="65E2C349" w14:textId="77777777" w:rsidR="002F3F46" w:rsidRPr="0050709F" w:rsidRDefault="002F3F46" w:rsidP="000746FC">
      <w:pPr>
        <w:pStyle w:val="Footer"/>
        <w:jc w:val="both"/>
        <w:rPr>
          <w:rFonts w:cs="Avenir-Roman"/>
          <w:sz w:val="6"/>
          <w:szCs w:val="12"/>
          <w:lang w:eastAsia="en-GB"/>
        </w:rPr>
      </w:pPr>
    </w:p>
    <w:tbl>
      <w:tblPr>
        <w:tblStyle w:val="TableGrid"/>
        <w:tblW w:w="0" w:type="auto"/>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06"/>
      </w:tblGrid>
      <w:tr w:rsidR="00E76333" w14:paraId="65E2C351" w14:textId="77777777" w:rsidTr="00710FD2">
        <w:trPr>
          <w:trHeight w:val="1361"/>
        </w:trPr>
        <w:tc>
          <w:tcPr>
            <w:tcW w:w="9006" w:type="dxa"/>
            <w:vAlign w:val="center"/>
          </w:tcPr>
          <w:p w14:paraId="65E2C34A" w14:textId="77777777" w:rsidR="00E76333" w:rsidRDefault="00E76333" w:rsidP="000746FC">
            <w:pPr>
              <w:autoSpaceDE w:val="0"/>
              <w:autoSpaceDN w:val="0"/>
              <w:adjustRightInd w:val="0"/>
              <w:rPr>
                <w:rFonts w:cs="Avenir-Roman"/>
                <w:sz w:val="9"/>
                <w:szCs w:val="13"/>
                <w:lang w:eastAsia="en-GB"/>
              </w:rPr>
            </w:pPr>
            <w:r w:rsidRPr="00DA336E">
              <w:rPr>
                <w:b/>
                <w:sz w:val="18"/>
                <w:szCs w:val="18"/>
              </w:rPr>
              <w:t>Umboð til upp</w:t>
            </w:r>
            <w:r>
              <w:rPr>
                <w:b/>
                <w:sz w:val="18"/>
                <w:szCs w:val="18"/>
              </w:rPr>
              <w:t>l</w:t>
            </w:r>
            <w:r w:rsidRPr="00DA336E">
              <w:rPr>
                <w:b/>
                <w:sz w:val="18"/>
                <w:szCs w:val="18"/>
              </w:rPr>
              <w:t>ýsingaöflunar</w:t>
            </w:r>
          </w:p>
          <w:p w14:paraId="65E2C34B" w14:textId="77777777" w:rsidR="00E76333" w:rsidRPr="00860D17" w:rsidRDefault="00E76333" w:rsidP="000746FC">
            <w:pPr>
              <w:autoSpaceDE w:val="0"/>
              <w:autoSpaceDN w:val="0"/>
              <w:adjustRightInd w:val="0"/>
              <w:jc w:val="both"/>
              <w:rPr>
                <w:sz w:val="14"/>
                <w:szCs w:val="14"/>
                <w:lang w:eastAsia="en-GB"/>
              </w:rPr>
            </w:pPr>
            <w:r w:rsidRPr="00A44DD1">
              <w:rPr>
                <w:sz w:val="16"/>
                <w:szCs w:val="14"/>
                <w:lang w:eastAsia="en-GB"/>
              </w:rPr>
              <w:t>Ég, undirrituð/undirritaður, veiti hér með söluaðila þessa samnings umboð til að nálgast grunnupplýsingar um lífeyrissparnað minn hjá Arion banka</w:t>
            </w:r>
            <w:r w:rsidR="00CB2510">
              <w:rPr>
                <w:sz w:val="16"/>
                <w:szCs w:val="14"/>
                <w:lang w:eastAsia="en-GB"/>
              </w:rPr>
              <w:t>.</w:t>
            </w:r>
            <w:r w:rsidRPr="00A44DD1">
              <w:rPr>
                <w:sz w:val="16"/>
                <w:szCs w:val="14"/>
                <w:lang w:eastAsia="en-GB"/>
              </w:rPr>
              <w:t xml:space="preserve"> Grunnupplýsingar ná til þess hvort greitt er og þá í hvaða sjóð er greitt hjá Arion banka og hvort iðgjöld berist reglulega. Umboð þetta nær ekki til viðkvæmra persónuupplýsinga svo sem upphæð iðgjalda og inneignar. Umboð þetta gildir á </w:t>
            </w:r>
            <w:r w:rsidRPr="00860D17">
              <w:rPr>
                <w:sz w:val="16"/>
                <w:szCs w:val="14"/>
                <w:lang w:eastAsia="en-GB"/>
              </w:rPr>
              <w:t>meðan undirrituð/undirritaður er í viðskiptum við Arion banka eða þar til það hefur verið afturkallað með sannanlegum hætti</w:t>
            </w:r>
            <w:r w:rsidRPr="00860D17">
              <w:rPr>
                <w:sz w:val="14"/>
                <w:szCs w:val="14"/>
                <w:lang w:eastAsia="en-GB"/>
              </w:rPr>
              <w:t>.</w:t>
            </w:r>
          </w:p>
          <w:p w14:paraId="65E2C34C" w14:textId="77777777" w:rsidR="00E76333" w:rsidRPr="00860D17" w:rsidRDefault="00E76333" w:rsidP="000746FC">
            <w:pPr>
              <w:autoSpaceDE w:val="0"/>
              <w:autoSpaceDN w:val="0"/>
              <w:adjustRightInd w:val="0"/>
              <w:rPr>
                <w:sz w:val="4"/>
                <w:szCs w:val="4"/>
                <w:lang w:eastAsia="en-GB"/>
              </w:rPr>
            </w:pPr>
          </w:p>
          <w:tbl>
            <w:tblPr>
              <w:tblW w:w="4353" w:type="pct"/>
              <w:tblInd w:w="1276" w:type="dxa"/>
              <w:tblLook w:val="01E0" w:firstRow="1" w:lastRow="1" w:firstColumn="1" w:lastColumn="1" w:noHBand="0" w:noVBand="0"/>
            </w:tblPr>
            <w:tblGrid>
              <w:gridCol w:w="2905"/>
              <w:gridCol w:w="4748"/>
            </w:tblGrid>
            <w:tr w:rsidR="00E76333" w:rsidRPr="007E51F5" w14:paraId="65E2C34F" w14:textId="77777777" w:rsidTr="00710FD2">
              <w:tc>
                <w:tcPr>
                  <w:tcW w:w="1898" w:type="pct"/>
                </w:tcPr>
                <w:p w14:paraId="65E2C34D" w14:textId="41C53F1B" w:rsidR="00E76333" w:rsidRPr="001A7EEC" w:rsidRDefault="00E76333" w:rsidP="000746FC">
                  <w:pPr>
                    <w:autoSpaceDE w:val="0"/>
                    <w:autoSpaceDN w:val="0"/>
                    <w:adjustRightInd w:val="0"/>
                    <w:ind w:left="-108"/>
                    <w:rPr>
                      <w:rStyle w:val="SubtleEmphasis"/>
                      <w:i/>
                    </w:rPr>
                  </w:pPr>
                  <w:r w:rsidRPr="001A7EEC">
                    <w:rPr>
                      <w:rStyle w:val="SubtleEmphasis"/>
                      <w:i/>
                      <w:sz w:val="16"/>
                    </w:rPr>
                    <w:t xml:space="preserve">Samþykki </w:t>
                  </w:r>
                  <w:r w:rsidR="00752E94" w:rsidRPr="00752E94">
                    <w:rPr>
                      <w:rStyle w:val="SubtleEmphasis"/>
                      <w:i/>
                      <w:sz w:val="16"/>
                      <w:szCs w:val="16"/>
                    </w:rPr>
                    <w:t>sjóðfélaga</w:t>
                  </w:r>
                  <w:r w:rsidRPr="00752E94">
                    <w:rPr>
                      <w:rStyle w:val="SubtleEmphasis"/>
                      <w:i/>
                      <w:sz w:val="16"/>
                      <w:szCs w:val="16"/>
                    </w:rPr>
                    <w:t xml:space="preserve"> fyrir</w:t>
                  </w:r>
                  <w:r w:rsidRPr="001A7EEC">
                    <w:rPr>
                      <w:rStyle w:val="SubtleEmphasis"/>
                      <w:i/>
                      <w:sz w:val="16"/>
                    </w:rPr>
                    <w:t xml:space="preserve"> ofangreindu umboði:</w:t>
                  </w:r>
                </w:p>
              </w:tc>
              <w:tc>
                <w:tcPr>
                  <w:tcW w:w="3102" w:type="pct"/>
                </w:tcPr>
                <w:p w14:paraId="65E2C34E" w14:textId="77777777" w:rsidR="00E76333" w:rsidRPr="007E51F5" w:rsidRDefault="00E76333" w:rsidP="000746FC">
                  <w:pPr>
                    <w:autoSpaceDE w:val="0"/>
                    <w:autoSpaceDN w:val="0"/>
                    <w:adjustRightInd w:val="0"/>
                    <w:rPr>
                      <w:rStyle w:val="SubtleEmphasis"/>
                    </w:rPr>
                  </w:pPr>
                </w:p>
              </w:tc>
            </w:tr>
          </w:tbl>
          <w:p w14:paraId="65E2C350" w14:textId="77777777" w:rsidR="00E76333" w:rsidRDefault="00E76333" w:rsidP="000746FC">
            <w:pPr>
              <w:pStyle w:val="Footer"/>
              <w:rPr>
                <w:rFonts w:cs="Avenir-Roman"/>
                <w:sz w:val="12"/>
                <w:szCs w:val="12"/>
                <w:lang w:eastAsia="en-GB"/>
              </w:rPr>
            </w:pPr>
          </w:p>
        </w:tc>
      </w:tr>
    </w:tbl>
    <w:p w14:paraId="65E2C352" w14:textId="67FFEC9E" w:rsidR="005C6BAF" w:rsidRDefault="005C6BAF" w:rsidP="000746FC">
      <w:pPr>
        <w:pStyle w:val="Footer"/>
        <w:jc w:val="both"/>
        <w:rPr>
          <w:rFonts w:cs="Avenir-Roman"/>
          <w:sz w:val="18"/>
          <w:szCs w:val="14"/>
          <w:lang w:eastAsia="en-GB"/>
        </w:rPr>
      </w:pPr>
    </w:p>
    <w:p w14:paraId="65E2C353" w14:textId="77777777" w:rsidR="003E4554" w:rsidRDefault="003E4554" w:rsidP="000746FC">
      <w:pPr>
        <w:pStyle w:val="Footer"/>
        <w:jc w:val="both"/>
        <w:rPr>
          <w:rFonts w:cs="Avenir-Roman"/>
          <w:sz w:val="14"/>
          <w:szCs w:val="14"/>
          <w:lang w:eastAsia="en-GB"/>
        </w:rPr>
      </w:pPr>
      <w:r w:rsidRPr="008C2845">
        <w:rPr>
          <w:rFonts w:cs="Avenir-Roman"/>
          <w:sz w:val="14"/>
          <w:szCs w:val="14"/>
          <w:lang w:eastAsia="en-GB"/>
        </w:rPr>
        <w:t>Aðilar staðfesta með undirskrift sinni efni samnings þessa og undirgangast með undirskrift sinni að þeir hlíti reglum sem um samning þennan gilda.</w:t>
      </w:r>
    </w:p>
    <w:p w14:paraId="65E2C354" w14:textId="77777777" w:rsidR="003E4554" w:rsidRPr="0050709F" w:rsidRDefault="003E4554" w:rsidP="000746FC">
      <w:pPr>
        <w:pStyle w:val="Footer"/>
        <w:jc w:val="both"/>
        <w:rPr>
          <w:rFonts w:cs="Avenir-Roman"/>
          <w:b/>
          <w:sz w:val="4"/>
          <w:szCs w:val="12"/>
          <w:lang w:eastAsia="en-GB"/>
        </w:rPr>
      </w:pPr>
    </w:p>
    <w:tbl>
      <w:tblPr>
        <w:tblW w:w="4637" w:type="pct"/>
        <w:tblLook w:val="0000" w:firstRow="0" w:lastRow="0" w:firstColumn="0" w:lastColumn="0" w:noHBand="0" w:noVBand="0"/>
      </w:tblPr>
      <w:tblGrid>
        <w:gridCol w:w="4536"/>
        <w:gridCol w:w="284"/>
        <w:gridCol w:w="4960"/>
      </w:tblGrid>
      <w:tr w:rsidR="000746FC" w:rsidRPr="008C2845" w14:paraId="65E2C359" w14:textId="77777777" w:rsidTr="000746FC">
        <w:tc>
          <w:tcPr>
            <w:tcW w:w="2319" w:type="pct"/>
            <w:tcBorders>
              <w:bottom w:val="single" w:sz="2" w:space="0" w:color="auto"/>
            </w:tcBorders>
            <w:vAlign w:val="bottom"/>
          </w:tcPr>
          <w:p w14:paraId="65E2C355" w14:textId="77777777" w:rsidR="000746FC" w:rsidRPr="007E51F5" w:rsidRDefault="000746FC" w:rsidP="000746FC">
            <w:pPr>
              <w:rPr>
                <w:rStyle w:val="SubtleEmphasis"/>
              </w:rPr>
            </w:pPr>
            <w:r>
              <w:rPr>
                <w:rStyle w:val="SubtleEmphasis"/>
              </w:rPr>
              <w:fldChar w:fldCharType="begin">
                <w:ffData>
                  <w:name w:val=""/>
                  <w:enabled/>
                  <w:calcOnExit w:val="0"/>
                  <w:textInput>
                    <w:maxLength w:val="55"/>
                  </w:textInput>
                </w:ffData>
              </w:fldChar>
            </w:r>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p>
        </w:tc>
        <w:tc>
          <w:tcPr>
            <w:tcW w:w="145" w:type="pct"/>
            <w:vMerge w:val="restart"/>
            <w:vAlign w:val="bottom"/>
          </w:tcPr>
          <w:p w14:paraId="65E2C356" w14:textId="77777777" w:rsidR="000746FC" w:rsidRPr="008C2845" w:rsidRDefault="000746FC" w:rsidP="000746FC">
            <w:pPr>
              <w:rPr>
                <w:rFonts w:cs="Arial"/>
              </w:rPr>
            </w:pPr>
          </w:p>
        </w:tc>
        <w:tc>
          <w:tcPr>
            <w:tcW w:w="2536" w:type="pct"/>
            <w:tcBorders>
              <w:bottom w:val="single" w:sz="2" w:space="0" w:color="auto"/>
            </w:tcBorders>
            <w:vAlign w:val="bottom"/>
          </w:tcPr>
          <w:p w14:paraId="65E2C357" w14:textId="77777777" w:rsidR="000746FC" w:rsidRPr="008C2845" w:rsidRDefault="000746FC" w:rsidP="000746FC">
            <w:pPr>
              <w:rPr>
                <w:rFonts w:cs="Arial"/>
              </w:rPr>
            </w:pPr>
          </w:p>
        </w:tc>
      </w:tr>
      <w:tr w:rsidR="000746FC" w:rsidRPr="007E51F5" w14:paraId="65E2C35E" w14:textId="77777777" w:rsidTr="000746FC">
        <w:tc>
          <w:tcPr>
            <w:tcW w:w="2319" w:type="pct"/>
            <w:tcBorders>
              <w:top w:val="single" w:sz="2" w:space="0" w:color="auto"/>
            </w:tcBorders>
          </w:tcPr>
          <w:p w14:paraId="65E2C35A" w14:textId="77777777" w:rsidR="000746FC" w:rsidRPr="007E51F5" w:rsidRDefault="000746FC" w:rsidP="000746FC">
            <w:pPr>
              <w:rPr>
                <w:rStyle w:val="Strong"/>
              </w:rPr>
            </w:pPr>
            <w:r w:rsidRPr="007E51F5">
              <w:rPr>
                <w:rStyle w:val="Strong"/>
              </w:rPr>
              <w:t xml:space="preserve">Staður og dagsetning </w:t>
            </w:r>
          </w:p>
        </w:tc>
        <w:tc>
          <w:tcPr>
            <w:tcW w:w="145" w:type="pct"/>
            <w:vMerge/>
          </w:tcPr>
          <w:p w14:paraId="65E2C35B" w14:textId="77777777" w:rsidR="000746FC" w:rsidRPr="007E51F5" w:rsidRDefault="000746FC" w:rsidP="000746FC">
            <w:pPr>
              <w:rPr>
                <w:rStyle w:val="Strong"/>
              </w:rPr>
            </w:pPr>
          </w:p>
        </w:tc>
        <w:tc>
          <w:tcPr>
            <w:tcW w:w="2536" w:type="pct"/>
            <w:tcBorders>
              <w:top w:val="single" w:sz="2" w:space="0" w:color="auto"/>
            </w:tcBorders>
          </w:tcPr>
          <w:p w14:paraId="65E2C35C" w14:textId="6E4AD525" w:rsidR="000746FC" w:rsidRPr="007E51F5" w:rsidRDefault="000746FC" w:rsidP="000746FC">
            <w:pPr>
              <w:rPr>
                <w:rStyle w:val="Strong"/>
              </w:rPr>
            </w:pPr>
            <w:r w:rsidRPr="007E51F5">
              <w:rPr>
                <w:rStyle w:val="Strong"/>
              </w:rPr>
              <w:t xml:space="preserve">Samþykki forráðamanns, ef </w:t>
            </w:r>
            <w:r>
              <w:rPr>
                <w:rStyle w:val="Strong"/>
              </w:rPr>
              <w:t>sjóðfélagi</w:t>
            </w:r>
            <w:r w:rsidRPr="007E51F5">
              <w:rPr>
                <w:rStyle w:val="Strong"/>
              </w:rPr>
              <w:t xml:space="preserve"> er undir 18 ára aldri</w:t>
            </w:r>
            <w:r>
              <w:rPr>
                <w:rStyle w:val="Strong"/>
              </w:rPr>
              <w:t xml:space="preserve">                                        </w:t>
            </w:r>
          </w:p>
        </w:tc>
      </w:tr>
      <w:tr w:rsidR="000746FC" w:rsidRPr="007E51F5" w14:paraId="65E2C363" w14:textId="77777777" w:rsidTr="000746FC">
        <w:trPr>
          <w:trHeight w:val="340"/>
        </w:trPr>
        <w:tc>
          <w:tcPr>
            <w:tcW w:w="2319" w:type="pct"/>
            <w:tcBorders>
              <w:bottom w:val="single" w:sz="2" w:space="0" w:color="auto"/>
            </w:tcBorders>
            <w:vAlign w:val="bottom"/>
          </w:tcPr>
          <w:p w14:paraId="65E2C35F" w14:textId="77777777" w:rsidR="000746FC" w:rsidRPr="007E51F5" w:rsidRDefault="000746FC" w:rsidP="000746FC">
            <w:pPr>
              <w:pStyle w:val="Header"/>
              <w:tabs>
                <w:tab w:val="left" w:pos="6120"/>
              </w:tabs>
              <w:rPr>
                <w:rStyle w:val="SubtleEmphasis"/>
              </w:rPr>
            </w:pPr>
          </w:p>
        </w:tc>
        <w:tc>
          <w:tcPr>
            <w:tcW w:w="145" w:type="pct"/>
            <w:vMerge w:val="restart"/>
            <w:vAlign w:val="bottom"/>
          </w:tcPr>
          <w:p w14:paraId="65E2C360" w14:textId="77777777" w:rsidR="000746FC" w:rsidRPr="007E51F5" w:rsidRDefault="000746FC" w:rsidP="000746FC">
            <w:pPr>
              <w:pStyle w:val="Header"/>
              <w:tabs>
                <w:tab w:val="left" w:pos="6120"/>
              </w:tabs>
              <w:rPr>
                <w:rStyle w:val="SubtleEmphasis"/>
              </w:rPr>
            </w:pPr>
          </w:p>
        </w:tc>
        <w:tc>
          <w:tcPr>
            <w:tcW w:w="2536" w:type="pct"/>
            <w:vAlign w:val="bottom"/>
          </w:tcPr>
          <w:p w14:paraId="65E2C361" w14:textId="77777777" w:rsidR="000746FC" w:rsidRPr="007E51F5" w:rsidRDefault="000746FC" w:rsidP="000746FC">
            <w:pPr>
              <w:rPr>
                <w:rStyle w:val="SubtleEmphasis"/>
              </w:rPr>
            </w:pPr>
          </w:p>
        </w:tc>
      </w:tr>
      <w:tr w:rsidR="000746FC" w:rsidRPr="008C2845" w14:paraId="65E2C368" w14:textId="77777777" w:rsidTr="000746FC">
        <w:tc>
          <w:tcPr>
            <w:tcW w:w="2319" w:type="pct"/>
            <w:tcBorders>
              <w:top w:val="single" w:sz="2" w:space="0" w:color="auto"/>
            </w:tcBorders>
          </w:tcPr>
          <w:p w14:paraId="65E2C364" w14:textId="6F7ABD97" w:rsidR="000746FC" w:rsidRPr="008C2845" w:rsidRDefault="000746FC" w:rsidP="000746FC">
            <w:pPr>
              <w:rPr>
                <w:rFonts w:cs="Arial"/>
                <w:sz w:val="14"/>
                <w:szCs w:val="14"/>
              </w:rPr>
            </w:pPr>
            <w:r w:rsidRPr="008C2845">
              <w:rPr>
                <w:rFonts w:cs="Arial"/>
                <w:sz w:val="14"/>
                <w:szCs w:val="14"/>
              </w:rPr>
              <w:t xml:space="preserve">Undirskrift </w:t>
            </w:r>
            <w:r>
              <w:rPr>
                <w:rFonts w:cs="Arial"/>
                <w:sz w:val="14"/>
                <w:szCs w:val="14"/>
              </w:rPr>
              <w:t>sjóðfélaga</w:t>
            </w:r>
          </w:p>
        </w:tc>
        <w:tc>
          <w:tcPr>
            <w:tcW w:w="145" w:type="pct"/>
            <w:vMerge/>
          </w:tcPr>
          <w:p w14:paraId="65E2C365" w14:textId="77777777" w:rsidR="000746FC" w:rsidRPr="008C2845" w:rsidRDefault="000746FC" w:rsidP="000746FC">
            <w:pPr>
              <w:rPr>
                <w:rFonts w:cs="Arial"/>
                <w:sz w:val="14"/>
                <w:szCs w:val="14"/>
              </w:rPr>
            </w:pPr>
          </w:p>
        </w:tc>
        <w:tc>
          <w:tcPr>
            <w:tcW w:w="2536" w:type="pct"/>
          </w:tcPr>
          <w:p w14:paraId="65E2C366" w14:textId="2DA836ED" w:rsidR="000746FC" w:rsidRPr="007E51F5" w:rsidRDefault="000746FC" w:rsidP="000746FC">
            <w:pPr>
              <w:rPr>
                <w:rStyle w:val="Strong"/>
              </w:rPr>
            </w:pPr>
          </w:p>
        </w:tc>
      </w:tr>
    </w:tbl>
    <w:p w14:paraId="65E2C369" w14:textId="77777777" w:rsidR="003E4554" w:rsidRPr="005C6BAF" w:rsidRDefault="003E4554" w:rsidP="000746FC">
      <w:pPr>
        <w:rPr>
          <w:sz w:val="4"/>
          <w:szCs w:val="4"/>
        </w:rPr>
      </w:pPr>
    </w:p>
    <w:p w14:paraId="4583E470" w14:textId="6FDF8429" w:rsidR="00752E94" w:rsidRDefault="00752E94" w:rsidP="000746FC">
      <w:pPr>
        <w:spacing w:after="200" w:line="276" w:lineRule="auto"/>
        <w:rPr>
          <w:sz w:val="14"/>
          <w:szCs w:val="14"/>
        </w:rPr>
      </w:pPr>
      <w:r>
        <w:rPr>
          <w:sz w:val="14"/>
          <w:szCs w:val="1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544"/>
      </w:tblGrid>
      <w:tr w:rsidR="00884C60" w14:paraId="324A7303" w14:textId="77777777" w:rsidTr="00884C60">
        <w:tc>
          <w:tcPr>
            <w:tcW w:w="6946" w:type="dxa"/>
          </w:tcPr>
          <w:p w14:paraId="35539ED9" w14:textId="35A506E3" w:rsidR="00884C60" w:rsidRPr="00884C60" w:rsidRDefault="00884C60" w:rsidP="000746FC">
            <w:pPr>
              <w:spacing w:before="60" w:after="60"/>
              <w:ind w:left="-108"/>
              <w:jc w:val="both"/>
              <w:rPr>
                <w:rFonts w:ascii="Arial" w:hAnsi="Arial" w:cs="Arial"/>
              </w:rPr>
            </w:pPr>
            <w:r w:rsidRPr="00884C60">
              <w:rPr>
                <w:rStyle w:val="SubtleEmphasis"/>
                <w:rFonts w:ascii="Century" w:hAnsi="Century"/>
                <w:color w:val="2A4056"/>
                <w:sz w:val="24"/>
              </w:rPr>
              <w:lastRenderedPageBreak/>
              <w:t>Samningur um tilgreinda séreign</w:t>
            </w:r>
          </w:p>
        </w:tc>
        <w:tc>
          <w:tcPr>
            <w:tcW w:w="3544" w:type="dxa"/>
            <w:vAlign w:val="center"/>
          </w:tcPr>
          <w:p w14:paraId="6401C0B3" w14:textId="77777777" w:rsidR="00884C60" w:rsidRDefault="00884C60" w:rsidP="000746FC">
            <w:pPr>
              <w:spacing w:before="60" w:after="60"/>
              <w:jc w:val="right"/>
              <w:rPr>
                <w:b/>
                <w:sz w:val="18"/>
                <w:szCs w:val="18"/>
              </w:rPr>
            </w:pPr>
            <w:r w:rsidRPr="00C33F44">
              <w:rPr>
                <w:rFonts w:cs="Arial"/>
                <w:noProof/>
                <w:sz w:val="20"/>
                <w:szCs w:val="20"/>
              </w:rPr>
              <w:drawing>
                <wp:inline distT="0" distB="0" distL="0" distR="0" wp14:anchorId="6D2B07B7" wp14:editId="26D3D837">
                  <wp:extent cx="1158541" cy="250190"/>
                  <wp:effectExtent l="0" t="0" r="3810" b="0"/>
                  <wp:docPr id="4" name="Picture 4"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804" cy="273138"/>
                          </a:xfrm>
                          <a:prstGeom prst="rect">
                            <a:avLst/>
                          </a:prstGeom>
                          <a:noFill/>
                          <a:ln>
                            <a:noFill/>
                          </a:ln>
                        </pic:spPr>
                      </pic:pic>
                    </a:graphicData>
                  </a:graphic>
                </wp:inline>
              </w:drawing>
            </w:r>
          </w:p>
        </w:tc>
      </w:tr>
    </w:tbl>
    <w:p w14:paraId="65E2C36E" w14:textId="77777777" w:rsidR="003E4554" w:rsidRPr="00752E94" w:rsidRDefault="003E4554" w:rsidP="000746FC">
      <w:pPr>
        <w:rPr>
          <w:sz w:val="14"/>
          <w:szCs w:val="10"/>
        </w:rPr>
      </w:pPr>
    </w:p>
    <w:p w14:paraId="65E2C3D8" w14:textId="77777777" w:rsidR="002F3F46" w:rsidRPr="00752E94" w:rsidRDefault="002F3F46" w:rsidP="000746FC">
      <w:pPr>
        <w:rPr>
          <w:sz w:val="14"/>
          <w:szCs w:val="14"/>
        </w:rPr>
      </w:pPr>
    </w:p>
    <w:p w14:paraId="65E2C3D9" w14:textId="77777777" w:rsidR="002F3F46" w:rsidRPr="008C2845" w:rsidRDefault="002F3F46" w:rsidP="000746FC">
      <w:pPr>
        <w:jc w:val="both"/>
        <w:rPr>
          <w:b/>
          <w:sz w:val="16"/>
          <w:szCs w:val="16"/>
        </w:rPr>
      </w:pPr>
      <w:r w:rsidRPr="008C2845">
        <w:rPr>
          <w:b/>
          <w:sz w:val="16"/>
          <w:szCs w:val="16"/>
        </w:rPr>
        <w:t xml:space="preserve">Reglur um </w:t>
      </w:r>
      <w:r w:rsidR="00DA336E">
        <w:rPr>
          <w:b/>
          <w:sz w:val="16"/>
          <w:szCs w:val="16"/>
        </w:rPr>
        <w:t>tilgreinda séreign</w:t>
      </w:r>
      <w:r w:rsidRPr="008C2845">
        <w:rPr>
          <w:b/>
          <w:sz w:val="16"/>
          <w:szCs w:val="16"/>
        </w:rPr>
        <w:t xml:space="preserve"> Frjálsa lífeyrissjóðsins</w:t>
      </w:r>
    </w:p>
    <w:p w14:paraId="65E2C3DA" w14:textId="77777777" w:rsidR="002F3F46" w:rsidRPr="001A7EEC" w:rsidRDefault="002F3F46" w:rsidP="000746FC">
      <w:pPr>
        <w:rPr>
          <w:sz w:val="4"/>
          <w:szCs w:val="4"/>
        </w:rPr>
      </w:pPr>
    </w:p>
    <w:tbl>
      <w:tblPr>
        <w:tblW w:w="5000" w:type="pct"/>
        <w:tblLook w:val="01E0" w:firstRow="1" w:lastRow="1" w:firstColumn="1" w:lastColumn="1" w:noHBand="0" w:noVBand="0"/>
      </w:tblPr>
      <w:tblGrid>
        <w:gridCol w:w="5275"/>
        <w:gridCol w:w="5271"/>
      </w:tblGrid>
      <w:tr w:rsidR="000746FC" w:rsidRPr="00E15C53" w14:paraId="6A26136B" w14:textId="77777777" w:rsidTr="0061194A">
        <w:tc>
          <w:tcPr>
            <w:tcW w:w="2501" w:type="pct"/>
          </w:tcPr>
          <w:p w14:paraId="0FA82B47"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 xml:space="preserve">1. gr. Vörslusamningar um lífeyrissparnað </w:t>
            </w:r>
          </w:p>
          <w:p w14:paraId="4190ED34" w14:textId="77777777" w:rsidR="000746FC" w:rsidRPr="00E15C53" w:rsidRDefault="000746FC" w:rsidP="0061194A">
            <w:pPr>
              <w:autoSpaceDE w:val="0"/>
              <w:autoSpaceDN w:val="0"/>
              <w:adjustRightInd w:val="0"/>
              <w:jc w:val="both"/>
              <w:rPr>
                <w:rFonts w:cs="Avenir-Light"/>
                <w:sz w:val="14"/>
                <w:szCs w:val="14"/>
                <w:highlight w:val="yellow"/>
                <w:lang w:eastAsia="en-GB"/>
              </w:rPr>
            </w:pPr>
            <w:r w:rsidRPr="00E15C53">
              <w:rPr>
                <w:rFonts w:cs="Avenir-Light"/>
                <w:sz w:val="14"/>
                <w:szCs w:val="14"/>
                <w:lang w:eastAsia="en-GB"/>
              </w:rPr>
              <w:t>Reglur þessar taka til lífeyrissparnaðar, tilgreindrar séreignar,  sem byggir á ákvæðum laga nr. 129/19</w:t>
            </w:r>
            <w:r>
              <w:rPr>
                <w:rFonts w:cs="Avenir-Light"/>
                <w:sz w:val="14"/>
                <w:szCs w:val="14"/>
                <w:lang w:eastAsia="en-GB"/>
              </w:rPr>
              <w:t>97, um skyldutryggingu lífeyrisrétt</w:t>
            </w:r>
            <w:r w:rsidRPr="00E15C53">
              <w:rPr>
                <w:rFonts w:cs="Avenir-Light"/>
                <w:sz w:val="14"/>
                <w:szCs w:val="14"/>
                <w:lang w:eastAsia="en-GB"/>
              </w:rPr>
              <w:t>inda og starfsemi lífeyrissjóða. Allir þeir sem uppfylla ákvæði fyrr</w:t>
            </w:r>
            <w:r w:rsidRPr="00E15C53">
              <w:rPr>
                <w:rFonts w:cs="Avenir-Light"/>
                <w:sz w:val="14"/>
                <w:szCs w:val="14"/>
                <w:lang w:eastAsia="en-GB"/>
              </w:rPr>
              <w:softHyphen/>
              <w:t>greindra laga um</w:t>
            </w:r>
            <w:r>
              <w:rPr>
                <w:rFonts w:cs="Avenir-Light"/>
                <w:sz w:val="14"/>
                <w:szCs w:val="14"/>
                <w:lang w:eastAsia="en-GB"/>
              </w:rPr>
              <w:t xml:space="preserve"> greiðslu iðgjalds til lágmarks</w:t>
            </w:r>
            <w:r w:rsidRPr="00E15C53">
              <w:rPr>
                <w:rFonts w:cs="Avenir-Light"/>
                <w:sz w:val="14"/>
                <w:szCs w:val="14"/>
                <w:lang w:eastAsia="en-GB"/>
              </w:rPr>
              <w:t xml:space="preserve">tryggingarverndar hjá </w:t>
            </w:r>
            <w:r>
              <w:rPr>
                <w:rFonts w:cs="Avenir-Light"/>
                <w:sz w:val="14"/>
                <w:szCs w:val="14"/>
                <w:lang w:eastAsia="en-GB"/>
              </w:rPr>
              <w:t>líf</w:t>
            </w:r>
            <w:r w:rsidRPr="00E15C53">
              <w:rPr>
                <w:rFonts w:cs="Avenir-Light"/>
                <w:sz w:val="14"/>
                <w:szCs w:val="14"/>
                <w:lang w:eastAsia="en-GB"/>
              </w:rPr>
              <w:t>eyrissjóði geta greitt í tilgreinda séreign hjá Frj</w:t>
            </w:r>
            <w:r>
              <w:rPr>
                <w:rFonts w:cs="Avenir-Light"/>
                <w:sz w:val="14"/>
                <w:szCs w:val="14"/>
                <w:lang w:eastAsia="en-GB"/>
              </w:rPr>
              <w:t>álsa lífeyrissjóðnum. Með undir</w:t>
            </w:r>
            <w:r w:rsidRPr="00E15C53">
              <w:rPr>
                <w:rFonts w:cs="Avenir-Light"/>
                <w:sz w:val="14"/>
                <w:szCs w:val="14"/>
                <w:lang w:eastAsia="en-GB"/>
              </w:rPr>
              <w:t>ritun rétthafa á samning Frjálsa lífeyrissjóðsins samþykkir hann að hlíta reglum þessum.</w:t>
            </w:r>
          </w:p>
          <w:p w14:paraId="6FE8B662"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2. gr. Skil á samningi til launagreiðanda</w:t>
            </w:r>
          </w:p>
          <w:p w14:paraId="4DA9CD47"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Þegar samningur hefur komist á um lífeyr</w:t>
            </w:r>
            <w:r>
              <w:rPr>
                <w:rFonts w:cs="Avenir-Light"/>
                <w:sz w:val="14"/>
                <w:szCs w:val="14"/>
                <w:lang w:eastAsia="en-GB"/>
              </w:rPr>
              <w:t>issparnað skal Frjálsi lífeyrissjóður</w:t>
            </w:r>
            <w:r w:rsidRPr="00E15C53">
              <w:rPr>
                <w:rFonts w:cs="Avenir-Light"/>
                <w:sz w:val="14"/>
                <w:szCs w:val="14"/>
                <w:lang w:eastAsia="en-GB"/>
              </w:rPr>
              <w:t xml:space="preserve">inn senda launagreiðanda afrit af samningnum. </w:t>
            </w:r>
          </w:p>
          <w:p w14:paraId="06350A6B"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3. gr. Iðgjaldagreiðslur</w:t>
            </w:r>
          </w:p>
          <w:p w14:paraId="3BDD5462"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 xml:space="preserve">Iðgjöld skulu greiðast </w:t>
            </w:r>
            <w:r>
              <w:rPr>
                <w:rFonts w:cs="Avenir-Light"/>
                <w:sz w:val="14"/>
                <w:szCs w:val="14"/>
                <w:lang w:eastAsia="en-GB"/>
              </w:rPr>
              <w:t>mánaðarlega. Gjalddagi iðgjaldagreiðslu</w:t>
            </w:r>
            <w:r w:rsidRPr="00E15C53">
              <w:rPr>
                <w:rFonts w:cs="Avenir-Light"/>
                <w:sz w:val="14"/>
                <w:szCs w:val="14"/>
                <w:lang w:eastAsia="en-GB"/>
              </w:rPr>
              <w:t>tímabils er tíundi næsta mánaðar. Eindagi ska</w:t>
            </w:r>
            <w:r>
              <w:rPr>
                <w:rFonts w:cs="Avenir-Light"/>
                <w:sz w:val="14"/>
                <w:szCs w:val="14"/>
                <w:lang w:eastAsia="en-GB"/>
              </w:rPr>
              <w:t>l vera síðasti dagur sama mánað</w:t>
            </w:r>
            <w:r w:rsidRPr="00E15C53">
              <w:rPr>
                <w:rFonts w:cs="Avenir-Light"/>
                <w:sz w:val="14"/>
                <w:szCs w:val="14"/>
                <w:lang w:eastAsia="en-GB"/>
              </w:rPr>
              <w:t>ar og iðgjald fellur í gjalddaga. Í samningi skal fjárhæðin tilgreind í krónum eða sem hlutfall af launum. Iðgjaldagreiðslur skul</w:t>
            </w:r>
            <w:r>
              <w:rPr>
                <w:rFonts w:cs="Avenir-Light"/>
                <w:sz w:val="14"/>
                <w:szCs w:val="14"/>
                <w:lang w:eastAsia="en-GB"/>
              </w:rPr>
              <w:t>u hefjast eigi síðar en 2 mánuð</w:t>
            </w:r>
            <w:r w:rsidRPr="00E15C53">
              <w:rPr>
                <w:rFonts w:cs="Avenir-Light"/>
                <w:sz w:val="14"/>
                <w:szCs w:val="14"/>
                <w:lang w:eastAsia="en-GB"/>
              </w:rPr>
              <w:t>um eftir undirritun samnings. Iðgjöld grei</w:t>
            </w:r>
            <w:r>
              <w:rPr>
                <w:rFonts w:cs="Avenir-Light"/>
                <w:sz w:val="14"/>
                <w:szCs w:val="14"/>
                <w:lang w:eastAsia="en-GB"/>
              </w:rPr>
              <w:t>ðast með þeim hætti sem samning</w:t>
            </w:r>
            <w:r w:rsidRPr="00E15C53">
              <w:rPr>
                <w:rFonts w:cs="Avenir-Light"/>
                <w:sz w:val="14"/>
                <w:szCs w:val="14"/>
                <w:lang w:eastAsia="en-GB"/>
              </w:rPr>
              <w:t>ur kveður á um, nema gerður sé sérstakur samningur um annað fyrirkomulag síðar.</w:t>
            </w:r>
          </w:p>
          <w:p w14:paraId="34FAFF35" w14:textId="77777777" w:rsidR="000746FC" w:rsidRPr="00672CAA" w:rsidRDefault="000746FC" w:rsidP="0061194A">
            <w:pPr>
              <w:autoSpaceDE w:val="0"/>
              <w:autoSpaceDN w:val="0"/>
              <w:adjustRightInd w:val="0"/>
              <w:jc w:val="both"/>
              <w:rPr>
                <w:rFonts w:cs="Avenir-Light"/>
                <w:sz w:val="6"/>
                <w:szCs w:val="14"/>
                <w:lang w:eastAsia="en-GB"/>
              </w:rPr>
            </w:pPr>
          </w:p>
          <w:p w14:paraId="1C1D524C"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Frjálsa lífeyrissjóðnum ber að ávaxta greitt iðgjald samkvæmt samningi þessum frá þeim degi er sjóðnum berst iðgja</w:t>
            </w:r>
            <w:r>
              <w:rPr>
                <w:rFonts w:cs="Avenir-Light"/>
                <w:sz w:val="14"/>
                <w:szCs w:val="14"/>
                <w:lang w:eastAsia="en-GB"/>
              </w:rPr>
              <w:t>ld vegna rétthafa. Berist skila</w:t>
            </w:r>
            <w:r w:rsidRPr="00E15C53">
              <w:rPr>
                <w:rFonts w:cs="Avenir-Light"/>
                <w:sz w:val="14"/>
                <w:szCs w:val="14"/>
                <w:lang w:eastAsia="en-GB"/>
              </w:rPr>
              <w:t>grein frá launagreiðanda síðar en iðgjöld, er Frjálsa lífeyrissjóðnum skylt að reikna vexti frá skráningardegi skilagreinar í samræmi við þá fjárfestingarleið sem í gildi er samkvæmt samningi, enda geti sjóðurinn ekki áður sérgreint fé rétthafa sem launagreiðandi greiðir iðgjald fyrir. Iðgjald skal bera sömu vexti og Fjárhæðarþrep Arion banka hf. hverju sinni frá þeim tíma sem það berst vörsluaðila þar til skilagrein er skráð.</w:t>
            </w:r>
          </w:p>
          <w:p w14:paraId="2BEAF05F"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4. gr. Ráðstöfun iðgjalds</w:t>
            </w:r>
          </w:p>
          <w:p w14:paraId="6F144047"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Í samningi ákveður rétthafi hvernig iðgjaldi hans skuli ráðstafað til ávöxtunar í fjárfestingarleið m</w:t>
            </w:r>
            <w:r>
              <w:rPr>
                <w:rFonts w:cs="Avenir-Light"/>
                <w:sz w:val="14"/>
                <w:szCs w:val="14"/>
                <w:lang w:eastAsia="en-GB"/>
              </w:rPr>
              <w:t>eð fyrirfram ákveðinni fjárfestingar</w:t>
            </w:r>
            <w:r w:rsidRPr="00E15C53">
              <w:rPr>
                <w:rFonts w:cs="Avenir-Light"/>
                <w:sz w:val="14"/>
                <w:szCs w:val="14"/>
                <w:lang w:eastAsia="en-GB"/>
              </w:rPr>
              <w:t>stefnu. Rétthafi getur ávallt breytt ákvörðun sinni ve</w:t>
            </w:r>
            <w:r>
              <w:rPr>
                <w:rFonts w:cs="Avenir-Light"/>
                <w:sz w:val="14"/>
                <w:szCs w:val="14"/>
                <w:lang w:eastAsia="en-GB"/>
              </w:rPr>
              <w:t>gna framtíðariðgjalda með skrif</w:t>
            </w:r>
            <w:r w:rsidRPr="00E15C53">
              <w:rPr>
                <w:rFonts w:cs="Avenir-Light"/>
                <w:sz w:val="14"/>
                <w:szCs w:val="14"/>
                <w:lang w:eastAsia="en-GB"/>
              </w:rPr>
              <w:t xml:space="preserve">legri tilkynningu til Frjálsa lífeyrissjóðsins. </w:t>
            </w:r>
          </w:p>
          <w:p w14:paraId="76F2E6D7"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5. gr. Fjárfestingarleiðir</w:t>
            </w:r>
          </w:p>
          <w:p w14:paraId="5F8EBA78" w14:textId="77777777" w:rsidR="000746FC" w:rsidRPr="007E58F8" w:rsidRDefault="000746FC" w:rsidP="0061194A">
            <w:pPr>
              <w:autoSpaceDE w:val="0"/>
              <w:autoSpaceDN w:val="0"/>
              <w:adjustRightInd w:val="0"/>
              <w:jc w:val="both"/>
              <w:rPr>
                <w:sz w:val="14"/>
                <w:szCs w:val="14"/>
              </w:rPr>
            </w:pPr>
            <w:r w:rsidRPr="007E58F8">
              <w:rPr>
                <w:sz w:val="14"/>
                <w:szCs w:val="14"/>
              </w:rPr>
              <w:t>Rétthafar Frjálsa lífeyrissjóðsins geta valið á milli mismunandi fjárfestingarleiða til að ávaxta innstæðu sína. Ávöxtunarmöguleikarnir eru nokkrir sem felst nánar tiltekið í því að í boði er mismunandi hlutfall hlutabréfa í safni á móti öðrum fjármálagerningum, s.s. sku</w:t>
            </w:r>
            <w:r>
              <w:rPr>
                <w:sz w:val="14"/>
                <w:szCs w:val="14"/>
              </w:rPr>
              <w:t>ldabréfum og víxlum, sem og inn</w:t>
            </w:r>
            <w:r w:rsidRPr="007E58F8">
              <w:rPr>
                <w:sz w:val="14"/>
                <w:szCs w:val="14"/>
              </w:rPr>
              <w:t>lánum í bönkum og sparis</w:t>
            </w:r>
            <w:r>
              <w:rPr>
                <w:sz w:val="14"/>
                <w:szCs w:val="14"/>
              </w:rPr>
              <w:t>jóðum. Rétthafar geta flutt inn</w:t>
            </w:r>
            <w:r w:rsidRPr="007E58F8">
              <w:rPr>
                <w:sz w:val="14"/>
                <w:szCs w:val="14"/>
              </w:rPr>
              <w:t>stæðu sína á milli fjárfestingarleiða. Kostnaður við flutninginn skal vera skv. gildandi verðskrá sjóðsins á hverjum tíma en að hámar</w:t>
            </w:r>
            <w:r>
              <w:rPr>
                <w:sz w:val="14"/>
                <w:szCs w:val="14"/>
              </w:rPr>
              <w:t>ki 1% af inneign rétthafa. Jafn</w:t>
            </w:r>
            <w:r w:rsidRPr="007E58F8">
              <w:rPr>
                <w:sz w:val="14"/>
                <w:szCs w:val="14"/>
              </w:rPr>
              <w:t>framt geta rétthafar valið að færast sjálfkr</w:t>
            </w:r>
            <w:r>
              <w:rPr>
                <w:sz w:val="14"/>
                <w:szCs w:val="14"/>
              </w:rPr>
              <w:t>afa milli þessara fjárfestingarleiða skv. Ævilínu eftir fyrir</w:t>
            </w:r>
            <w:r w:rsidRPr="007E58F8">
              <w:rPr>
                <w:sz w:val="14"/>
                <w:szCs w:val="14"/>
              </w:rPr>
              <w:t>fram ákveðnum reglum sem</w:t>
            </w:r>
            <w:r>
              <w:rPr>
                <w:sz w:val="14"/>
                <w:szCs w:val="14"/>
              </w:rPr>
              <w:t xml:space="preserve"> er að finna í samþykktum sjóðs</w:t>
            </w:r>
            <w:r w:rsidRPr="007E58F8">
              <w:rPr>
                <w:sz w:val="14"/>
                <w:szCs w:val="14"/>
              </w:rPr>
              <w:t>ins. Í þeim tilvikum sem fjárfest er í erlendum myntum er stefnan að nota gjaldeyrisvarnir með því markmiði að draga úr áhættu a</w:t>
            </w:r>
            <w:r>
              <w:rPr>
                <w:sz w:val="14"/>
                <w:szCs w:val="14"/>
              </w:rPr>
              <w:t>f gengis</w:t>
            </w:r>
            <w:r>
              <w:rPr>
                <w:sz w:val="14"/>
                <w:szCs w:val="14"/>
              </w:rPr>
              <w:softHyphen/>
              <w:t>breyt</w:t>
            </w:r>
            <w:r w:rsidRPr="007E58F8">
              <w:rPr>
                <w:sz w:val="14"/>
                <w:szCs w:val="14"/>
              </w:rPr>
              <w:t>ingum erlendra gja</w:t>
            </w:r>
            <w:r>
              <w:rPr>
                <w:sz w:val="14"/>
                <w:szCs w:val="14"/>
              </w:rPr>
              <w:t>ldmiðla. Frjálsi lífeyrissjóður</w:t>
            </w:r>
            <w:r w:rsidRPr="007E58F8">
              <w:rPr>
                <w:sz w:val="14"/>
                <w:szCs w:val="14"/>
              </w:rPr>
              <w:t>inn hefur falið Arion banka hf. að annast eignastýringu skv. stefnu sjóðsins, en er heimilt að úthýsa eigna</w:t>
            </w:r>
            <w:r w:rsidRPr="007E58F8">
              <w:rPr>
                <w:sz w:val="14"/>
                <w:szCs w:val="14"/>
              </w:rPr>
              <w:softHyphen/>
              <w:t>stýringunni til Stefnis hf.</w:t>
            </w:r>
          </w:p>
          <w:p w14:paraId="01946AE2" w14:textId="77777777" w:rsidR="000746FC" w:rsidRPr="00E15C53" w:rsidRDefault="000746FC" w:rsidP="0061194A">
            <w:pPr>
              <w:jc w:val="both"/>
              <w:rPr>
                <w:rFonts w:cs="Avenir-Light"/>
                <w:b/>
                <w:sz w:val="14"/>
                <w:szCs w:val="14"/>
                <w:lang w:eastAsia="en-GB"/>
              </w:rPr>
            </w:pPr>
            <w:r w:rsidRPr="00E15C53">
              <w:rPr>
                <w:rFonts w:cs="Avenir-Light"/>
                <w:b/>
                <w:sz w:val="14"/>
                <w:szCs w:val="14"/>
                <w:lang w:eastAsia="en-GB"/>
              </w:rPr>
              <w:t>6. gr. Ráðstöfun iðgjalda við nýjan samning</w:t>
            </w:r>
          </w:p>
          <w:p w14:paraId="35D5190C"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Light"/>
                <w:sz w:val="14"/>
                <w:szCs w:val="14"/>
                <w:lang w:eastAsia="en-GB"/>
              </w:rPr>
              <w:t>Ef fyrir liggur samningur við rétthafa um sama efni eða ef iðgjöld rétthafa hafa borist án þess að samningur hafi ver</w:t>
            </w:r>
            <w:r>
              <w:rPr>
                <w:rFonts w:cs="Avenir-Light"/>
                <w:sz w:val="14"/>
                <w:szCs w:val="14"/>
                <w:lang w:eastAsia="en-GB"/>
              </w:rPr>
              <w:t>ið gerður þá kemur nýjasti samn</w:t>
            </w:r>
            <w:r w:rsidRPr="00E15C53">
              <w:rPr>
                <w:rFonts w:cs="Avenir-Light"/>
                <w:sz w:val="14"/>
                <w:szCs w:val="14"/>
                <w:lang w:eastAsia="en-GB"/>
              </w:rPr>
              <w:t>ingur rétthafa í stað eldri samnings eða eldr</w:t>
            </w:r>
            <w:r>
              <w:rPr>
                <w:rFonts w:cs="Avenir-Light"/>
                <w:sz w:val="14"/>
                <w:szCs w:val="14"/>
                <w:lang w:eastAsia="en-GB"/>
              </w:rPr>
              <w:t>a fyrirkomulags. Þ.e. framtíðarið</w:t>
            </w:r>
            <w:r w:rsidRPr="00E15C53">
              <w:rPr>
                <w:rFonts w:cs="Avenir-Light"/>
                <w:sz w:val="14"/>
                <w:szCs w:val="14"/>
                <w:lang w:eastAsia="en-GB"/>
              </w:rPr>
              <w:t>gjöldum allra launagreiðenda verður ráðstafað samk</w:t>
            </w:r>
            <w:r>
              <w:rPr>
                <w:rFonts w:cs="Avenir-Light"/>
                <w:sz w:val="14"/>
                <w:szCs w:val="14"/>
                <w:lang w:eastAsia="en-GB"/>
              </w:rPr>
              <w:t xml:space="preserve">væmt nýjasta samningi rétthafa. Velji rétthafi Ævilínu en á </w:t>
            </w:r>
            <w:r w:rsidRPr="00E15C53">
              <w:rPr>
                <w:rFonts w:cs="Avenir-Light"/>
                <w:sz w:val="14"/>
                <w:szCs w:val="14"/>
                <w:lang w:eastAsia="en-GB"/>
              </w:rPr>
              <w:t xml:space="preserve">uppsafnaða </w:t>
            </w:r>
            <w:r>
              <w:rPr>
                <w:rFonts w:cs="Avenir-Light"/>
                <w:sz w:val="14"/>
                <w:szCs w:val="14"/>
                <w:lang w:eastAsia="en-GB"/>
              </w:rPr>
              <w:t>inneign í annarri fjárfestingar</w:t>
            </w:r>
            <w:r w:rsidRPr="00E15C53">
              <w:rPr>
                <w:rFonts w:cs="Avenir-Light"/>
                <w:sz w:val="14"/>
                <w:szCs w:val="14"/>
                <w:lang w:eastAsia="en-GB"/>
              </w:rPr>
              <w:t>leið, þá mun hún við valið flytjast í þá fjárfestingarleið sem tilheyrir Ævilínu og fylgja henni. Þó verður inneign í Frjálsa 3 ekki flutt samkvæmt þessu. Velji rétthafi hins vegar aðra fjárfe</w:t>
            </w:r>
            <w:r>
              <w:rPr>
                <w:rFonts w:cs="Avenir-Light"/>
                <w:sz w:val="14"/>
                <w:szCs w:val="14"/>
                <w:lang w:eastAsia="en-GB"/>
              </w:rPr>
              <w:t>stingarleið en Ævilínu en á upp</w:t>
            </w:r>
            <w:r w:rsidRPr="00E15C53">
              <w:rPr>
                <w:rFonts w:cs="Avenir-Light"/>
                <w:sz w:val="14"/>
                <w:szCs w:val="14"/>
                <w:lang w:eastAsia="en-GB"/>
              </w:rPr>
              <w:t>safnaða inneign í Ævilínu, þá mun hún við v</w:t>
            </w:r>
            <w:r>
              <w:rPr>
                <w:rFonts w:cs="Avenir-Light"/>
                <w:sz w:val="14"/>
                <w:szCs w:val="14"/>
                <w:lang w:eastAsia="en-GB"/>
              </w:rPr>
              <w:t>alið sitja eftir í þeirri fjárfestingarleið sem tilheyrir Ævi</w:t>
            </w:r>
            <w:r w:rsidRPr="00E15C53">
              <w:rPr>
                <w:rFonts w:cs="Avenir-Light"/>
                <w:sz w:val="14"/>
                <w:szCs w:val="14"/>
                <w:lang w:eastAsia="en-GB"/>
              </w:rPr>
              <w:t>línu en mun framvegis ekki verða flutt samkvæmt reglum um Ævilínu.</w:t>
            </w:r>
          </w:p>
          <w:p w14:paraId="4B2EBCFF"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7. gr. Útborgun sparnaðar</w:t>
            </w:r>
          </w:p>
          <w:p w14:paraId="5B156D8F" w14:textId="77777777" w:rsidR="000746FC" w:rsidRPr="00E15C53" w:rsidRDefault="000746FC" w:rsidP="0061194A">
            <w:pPr>
              <w:jc w:val="both"/>
              <w:rPr>
                <w:sz w:val="14"/>
                <w:szCs w:val="14"/>
              </w:rPr>
            </w:pPr>
            <w:r w:rsidRPr="00E15C53">
              <w:rPr>
                <w:rFonts w:cs="Avenir-Light"/>
                <w:sz w:val="14"/>
                <w:szCs w:val="14"/>
                <w:lang w:eastAsia="en-GB"/>
              </w:rPr>
              <w:t xml:space="preserve">Velji sjóðfélagi annars lífeyrissjóðs að ráðstafa hluta iðgjalds í tilgreinda séreign hjá Frjálsa lífeyrissjóðnum, sbr. 1. mgr. 5. gr. laga nr. 129/1997, skulu um </w:t>
            </w:r>
            <w:r>
              <w:rPr>
                <w:rFonts w:cs="Avenir-Light"/>
                <w:sz w:val="14"/>
                <w:szCs w:val="14"/>
                <w:lang w:eastAsia="en-GB"/>
              </w:rPr>
              <w:t>útborgun</w:t>
            </w:r>
          </w:p>
        </w:tc>
        <w:tc>
          <w:tcPr>
            <w:tcW w:w="2499" w:type="pct"/>
          </w:tcPr>
          <w:p w14:paraId="6018E881" w14:textId="77777777" w:rsidR="000746FC" w:rsidRPr="00E15C53" w:rsidRDefault="000746FC" w:rsidP="0061194A">
            <w:pPr>
              <w:jc w:val="both"/>
              <w:rPr>
                <w:rFonts w:cs="Avenir-Light"/>
                <w:sz w:val="14"/>
                <w:szCs w:val="14"/>
                <w:lang w:eastAsia="en-GB"/>
              </w:rPr>
            </w:pPr>
            <w:r w:rsidRPr="00E15C53">
              <w:rPr>
                <w:rFonts w:cs="Avenir-Light"/>
                <w:sz w:val="14"/>
                <w:szCs w:val="14"/>
                <w:lang w:eastAsia="en-GB"/>
              </w:rPr>
              <w:t xml:space="preserve">séreignarinnar gilda sömu reglur og gilda myndu fyrir séreignarhlutann í þeim lífeyrissjóði sem rétthafi greiðir samtryggingarhluta lágmarksiðgjaldsins til, sbr. 2. mgr. 7. gr. reglugerðar nr. 698/1998. Sama gildir ef rétthafi velur að flytja í Frjálsa lífeyrissjóðinn tilgreinda séreign frá öðrum vörsluaðila lífeyrissparnaðar. </w:t>
            </w:r>
          </w:p>
          <w:p w14:paraId="369C89BC" w14:textId="77777777" w:rsidR="000746FC" w:rsidRPr="00672CAA" w:rsidRDefault="000746FC" w:rsidP="0061194A">
            <w:pPr>
              <w:autoSpaceDE w:val="0"/>
              <w:autoSpaceDN w:val="0"/>
              <w:adjustRightInd w:val="0"/>
              <w:jc w:val="both"/>
              <w:rPr>
                <w:rFonts w:cs="Avenir-Light"/>
                <w:sz w:val="6"/>
                <w:szCs w:val="6"/>
                <w:lang w:eastAsia="en-GB"/>
              </w:rPr>
            </w:pPr>
          </w:p>
          <w:p w14:paraId="2E5CC837"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Hafi lífeyrissjóðurinn sem rétthafi greiðir samtryggingarhluta lágmark</w:t>
            </w:r>
            <w:r>
              <w:rPr>
                <w:rFonts w:cs="Avenir-Light"/>
                <w:sz w:val="14"/>
                <w:szCs w:val="14"/>
                <w:lang w:eastAsia="en-GB"/>
              </w:rPr>
              <w:t>s</w:t>
            </w:r>
            <w:r w:rsidRPr="00E15C53">
              <w:rPr>
                <w:rFonts w:cs="Avenir-Light"/>
                <w:sz w:val="14"/>
                <w:szCs w:val="14"/>
                <w:lang w:eastAsia="en-GB"/>
              </w:rPr>
              <w:t>iðgjaldsins til ekki reglur um útborgun fyrir tilgreinda séreign getur útborgun sparnaðarins komið til vegna aldurs, örorku eða andláts rétthafa. Þegar rétthafi er orðinn 62 ára er heimilt að greiða út lífeyrissparnað ásamt vöxtum og skulu greiðslurnar dreifast að lágmarki fram að 67 ára aldri. Ef innstæða er undir kr. 500.000 þegar að útgreiðslu kemur er hún greidd út í eingreiðslu, sé þess óskað.</w:t>
            </w:r>
          </w:p>
          <w:p w14:paraId="3879B46E" w14:textId="77777777" w:rsidR="000746FC" w:rsidRPr="00672CAA" w:rsidRDefault="000746FC" w:rsidP="0061194A">
            <w:pPr>
              <w:autoSpaceDE w:val="0"/>
              <w:autoSpaceDN w:val="0"/>
              <w:adjustRightInd w:val="0"/>
              <w:jc w:val="both"/>
              <w:rPr>
                <w:rFonts w:cs="Avenir-Light"/>
                <w:sz w:val="6"/>
                <w:szCs w:val="6"/>
                <w:lang w:eastAsia="en-GB"/>
              </w:rPr>
            </w:pPr>
          </w:p>
          <w:p w14:paraId="300BC09F"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 xml:space="preserve">Deyi rétthafi áður en innstæða er að fullu greidd út fellur hún til erfingja hans og skiptist </w:t>
            </w:r>
            <w:r>
              <w:rPr>
                <w:rFonts w:cs="Avenir-Light"/>
                <w:sz w:val="14"/>
                <w:szCs w:val="14"/>
                <w:lang w:eastAsia="en-GB"/>
              </w:rPr>
              <w:t>milli þeirra eftir reglum erfða</w:t>
            </w:r>
            <w:r w:rsidRPr="00E15C53">
              <w:rPr>
                <w:rFonts w:cs="Avenir-Light"/>
                <w:sz w:val="14"/>
                <w:szCs w:val="14"/>
                <w:lang w:eastAsia="en-GB"/>
              </w:rPr>
              <w:t xml:space="preserve">laga. Láti rétthafi ekki eftir sig maka eða barn, rennur innstæðan til dánarbúsins og gildir þá ekki takmörkunin í 2. ml. 2. mgr. 8. gr. laga nr. 129/1997. </w:t>
            </w:r>
          </w:p>
          <w:p w14:paraId="4DE95360" w14:textId="77777777" w:rsidR="000746FC" w:rsidRPr="00672CAA" w:rsidRDefault="000746FC" w:rsidP="0061194A">
            <w:pPr>
              <w:autoSpaceDE w:val="0"/>
              <w:autoSpaceDN w:val="0"/>
              <w:adjustRightInd w:val="0"/>
              <w:jc w:val="both"/>
              <w:rPr>
                <w:rFonts w:cs="Avenir-Light"/>
                <w:sz w:val="6"/>
                <w:szCs w:val="6"/>
                <w:lang w:eastAsia="en-GB"/>
              </w:rPr>
            </w:pPr>
          </w:p>
          <w:p w14:paraId="0B306BE2"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venir-Light"/>
                <w:sz w:val="14"/>
                <w:szCs w:val="14"/>
                <w:lang w:eastAsia="en-GB"/>
              </w:rPr>
              <w:t>Verði rétthafi öryrki og orkutapið sem hann verður fyrir er 100% á hann rétt á að fá lífeyrissparnað og vexti greidda út með jöfnum árlegum greiðslum á 7 árum. Ár</w:t>
            </w:r>
            <w:r>
              <w:rPr>
                <w:rFonts w:cs="Avenir-Light"/>
                <w:sz w:val="14"/>
                <w:szCs w:val="14"/>
                <w:lang w:eastAsia="en-GB"/>
              </w:rPr>
              <w:t>leg útborgun lækkar og úttektar</w:t>
            </w:r>
            <w:r w:rsidRPr="00E15C53">
              <w:rPr>
                <w:rFonts w:cs="Avenir-Light"/>
                <w:sz w:val="14"/>
                <w:szCs w:val="14"/>
                <w:lang w:eastAsia="en-GB"/>
              </w:rPr>
              <w:t>tími lengist í hlutfalli við lækkun örorkuprósentu, sbr. 3. mgr. 11. gr. laga nr. 129/1997. Útborgun getur í fyrsta lagi hafist þegar vottorð um örorku og orkutap liggja fyrir. Ef innstæða rétthafa sem orðið hefur fyrir orkutapi e</w:t>
            </w:r>
            <w:r>
              <w:rPr>
                <w:rFonts w:cs="Avenir-Light"/>
                <w:sz w:val="14"/>
                <w:szCs w:val="14"/>
                <w:lang w:eastAsia="en-GB"/>
              </w:rPr>
              <w:t>r undir kr. 500.000 þegar að út</w:t>
            </w:r>
            <w:r w:rsidRPr="00E15C53">
              <w:rPr>
                <w:rFonts w:cs="Avenir-Light"/>
                <w:sz w:val="14"/>
                <w:szCs w:val="14"/>
                <w:lang w:eastAsia="en-GB"/>
              </w:rPr>
              <w:t xml:space="preserve">greiðslu kemur er hún greidd út í eingreiðslu, sé þess óskað. </w:t>
            </w:r>
          </w:p>
          <w:p w14:paraId="5BA7870E" w14:textId="77777777" w:rsidR="000746FC" w:rsidRPr="00672CAA" w:rsidRDefault="000746FC" w:rsidP="0061194A">
            <w:pPr>
              <w:autoSpaceDE w:val="0"/>
              <w:autoSpaceDN w:val="0"/>
              <w:adjustRightInd w:val="0"/>
              <w:jc w:val="both"/>
              <w:rPr>
                <w:rFonts w:cs="Avenir-Light"/>
                <w:sz w:val="6"/>
                <w:szCs w:val="6"/>
                <w:lang w:eastAsia="en-GB"/>
              </w:rPr>
            </w:pPr>
          </w:p>
          <w:p w14:paraId="44F508A4" w14:textId="77777777" w:rsidR="000746FC" w:rsidRPr="00E15C53" w:rsidRDefault="000746FC" w:rsidP="0061194A">
            <w:pPr>
              <w:autoSpaceDE w:val="0"/>
              <w:autoSpaceDN w:val="0"/>
              <w:adjustRightInd w:val="0"/>
              <w:jc w:val="both"/>
              <w:rPr>
                <w:rFonts w:cs="Avenir-Light"/>
                <w:sz w:val="14"/>
                <w:szCs w:val="14"/>
                <w:lang w:val="nb-NO" w:eastAsia="en-GB"/>
              </w:rPr>
            </w:pPr>
            <w:r w:rsidRPr="00E15C53">
              <w:rPr>
                <w:rFonts w:cs="Avenir-Light"/>
                <w:sz w:val="14"/>
                <w:szCs w:val="14"/>
                <w:lang w:eastAsia="en-GB"/>
              </w:rPr>
              <w:t>Viðmiðunarfjárh</w:t>
            </w:r>
            <w:r>
              <w:rPr>
                <w:rFonts w:cs="Avenir-Light"/>
                <w:sz w:val="14"/>
                <w:szCs w:val="14"/>
                <w:lang w:eastAsia="en-GB"/>
              </w:rPr>
              <w:t>æð þessi breytist árlega í hlut</w:t>
            </w:r>
            <w:r w:rsidRPr="00E15C53">
              <w:rPr>
                <w:rFonts w:cs="Avenir-Light"/>
                <w:sz w:val="14"/>
                <w:szCs w:val="14"/>
                <w:lang w:eastAsia="en-GB"/>
              </w:rPr>
              <w:t xml:space="preserve">falli við breytingu á vísitölu neysluverðs miðað við grunnvísitölu 173,5 stig. </w:t>
            </w:r>
            <w:r w:rsidRPr="00E15C53">
              <w:rPr>
                <w:rFonts w:cs="Avenir-Light"/>
                <w:sz w:val="14"/>
                <w:szCs w:val="14"/>
                <w:lang w:val="nb-NO" w:eastAsia="en-GB"/>
              </w:rPr>
              <w:t>Unnt er að semj</w:t>
            </w:r>
            <w:r>
              <w:rPr>
                <w:rFonts w:cs="Avenir-Light"/>
                <w:sz w:val="14"/>
                <w:szCs w:val="14"/>
                <w:lang w:val="nb-NO" w:eastAsia="en-GB"/>
              </w:rPr>
              <w:t>a um annan og lengri útborgunar</w:t>
            </w:r>
            <w:r w:rsidRPr="00E15C53">
              <w:rPr>
                <w:rFonts w:cs="Avenir-Light"/>
                <w:sz w:val="14"/>
                <w:szCs w:val="14"/>
                <w:lang w:val="nb-NO" w:eastAsia="en-GB"/>
              </w:rPr>
              <w:t xml:space="preserve">tíma en greinir hér fyrir ofan. Með jöfnum greiðslum hér fyrir framan er átt við greiðslur að tiltölu við fjölda greiðsluára þannig að rétthafi </w:t>
            </w:r>
            <w:r>
              <w:rPr>
                <w:rFonts w:cs="Avenir-Light"/>
                <w:sz w:val="14"/>
                <w:szCs w:val="14"/>
                <w:lang w:val="nb-NO" w:eastAsia="en-GB"/>
              </w:rPr>
              <w:t>fái á hverju ári þann hluta innstæð</w:t>
            </w:r>
            <w:r w:rsidRPr="00E15C53">
              <w:rPr>
                <w:rFonts w:cs="Avenir-Light"/>
                <w:sz w:val="14"/>
                <w:szCs w:val="14"/>
                <w:lang w:val="nb-NO" w:eastAsia="en-GB"/>
              </w:rPr>
              <w:t>unnar að meðtöldum vöxtum sem samsvarar tölu þeirra ára sem eftir standa af endurgreiðslutímanum.</w:t>
            </w:r>
          </w:p>
          <w:p w14:paraId="07594C48" w14:textId="77777777" w:rsidR="000746FC" w:rsidRPr="00E15C53" w:rsidRDefault="000746FC" w:rsidP="0061194A">
            <w:pPr>
              <w:autoSpaceDE w:val="0"/>
              <w:autoSpaceDN w:val="0"/>
              <w:adjustRightInd w:val="0"/>
              <w:jc w:val="both"/>
              <w:rPr>
                <w:rFonts w:cs="Avenir-Heavy"/>
                <w:b/>
                <w:sz w:val="14"/>
                <w:szCs w:val="14"/>
                <w:lang w:val="nb-NO" w:eastAsia="en-GB"/>
              </w:rPr>
            </w:pPr>
            <w:r w:rsidRPr="00E15C53">
              <w:rPr>
                <w:rFonts w:cs="Avenir-Heavy"/>
                <w:b/>
                <w:sz w:val="14"/>
                <w:szCs w:val="14"/>
                <w:lang w:val="nb-NO" w:eastAsia="en-GB"/>
              </w:rPr>
              <w:t>8. gr. Uppsögn samnings</w:t>
            </w:r>
          </w:p>
          <w:p w14:paraId="07D00B53" w14:textId="77777777" w:rsidR="000746FC" w:rsidRPr="00E15C53" w:rsidRDefault="000746FC" w:rsidP="0061194A">
            <w:pPr>
              <w:autoSpaceDE w:val="0"/>
              <w:autoSpaceDN w:val="0"/>
              <w:adjustRightInd w:val="0"/>
              <w:jc w:val="both"/>
              <w:rPr>
                <w:rFonts w:cs="Avenir-Light"/>
                <w:sz w:val="14"/>
                <w:szCs w:val="14"/>
                <w:lang w:eastAsia="en-GB"/>
              </w:rPr>
            </w:pPr>
            <w:r w:rsidRPr="00E15C53">
              <w:rPr>
                <w:rFonts w:cs="Arial"/>
                <w:sz w:val="14"/>
                <w:szCs w:val="14"/>
              </w:rPr>
              <w:t xml:space="preserve">Undirritun rétthafa á samninginn skuldbindur hann ekki fyrr en fjórtán dögum frá gerð samningsins og er rétthafa heimilt að falla frá samningi innan þess frests. </w:t>
            </w:r>
            <w:r w:rsidRPr="00E15C53">
              <w:rPr>
                <w:rFonts w:cs="Avenir-Light"/>
                <w:sz w:val="14"/>
                <w:szCs w:val="14"/>
                <w:lang w:eastAsia="en-GB"/>
              </w:rPr>
              <w:t>Samningi þessum er hæ</w:t>
            </w:r>
            <w:r>
              <w:rPr>
                <w:rFonts w:cs="Avenir-Light"/>
                <w:sz w:val="14"/>
                <w:szCs w:val="14"/>
                <w:lang w:eastAsia="en-GB"/>
              </w:rPr>
              <w:t>gt að segja upp með tveggja mánaða fyrirvara. Uppsögn skal vera skrif</w:t>
            </w:r>
            <w:r w:rsidRPr="00E15C53">
              <w:rPr>
                <w:rFonts w:cs="Avenir-Light"/>
                <w:sz w:val="14"/>
                <w:szCs w:val="14"/>
                <w:lang w:eastAsia="en-GB"/>
              </w:rPr>
              <w:t xml:space="preserve">leg og undirrituð </w:t>
            </w:r>
            <w:r>
              <w:rPr>
                <w:rFonts w:cs="Avenir-Light"/>
                <w:sz w:val="14"/>
                <w:szCs w:val="14"/>
                <w:lang w:eastAsia="en-GB"/>
              </w:rPr>
              <w:t>af rétthafa. Upp</w:t>
            </w:r>
            <w:r w:rsidRPr="00E15C53">
              <w:rPr>
                <w:rFonts w:cs="Avenir-Light"/>
                <w:sz w:val="14"/>
                <w:szCs w:val="14"/>
                <w:lang w:eastAsia="en-GB"/>
              </w:rPr>
              <w:t>sögn veitir ekki rétt til útborgunar inn</w:t>
            </w:r>
            <w:r w:rsidRPr="00E15C53">
              <w:rPr>
                <w:rFonts w:cs="Avenir-Light"/>
                <w:sz w:val="14"/>
                <w:szCs w:val="14"/>
                <w:lang w:eastAsia="en-GB"/>
              </w:rPr>
              <w:softHyphen/>
            </w:r>
            <w:r>
              <w:rPr>
                <w:rFonts w:cs="Avenir-Light"/>
                <w:sz w:val="14"/>
                <w:szCs w:val="14"/>
                <w:lang w:eastAsia="en-GB"/>
              </w:rPr>
              <w:t>stæðu. Hætti iðgjöld vegna rétt</w:t>
            </w:r>
            <w:r w:rsidRPr="00E15C53">
              <w:rPr>
                <w:rFonts w:cs="Avenir-Light"/>
                <w:sz w:val="14"/>
                <w:szCs w:val="14"/>
                <w:lang w:eastAsia="en-GB"/>
              </w:rPr>
              <w:t>hafa að berast til Frjálsa lífeyrissjóðs</w:t>
            </w:r>
            <w:r>
              <w:rPr>
                <w:rFonts w:cs="Avenir-Light"/>
                <w:sz w:val="14"/>
                <w:szCs w:val="14"/>
                <w:lang w:eastAsia="en-GB"/>
              </w:rPr>
              <w:t>ins af einhverjum ástæðum, verð</w:t>
            </w:r>
            <w:r w:rsidRPr="00E15C53">
              <w:rPr>
                <w:rFonts w:cs="Avenir-Light"/>
                <w:sz w:val="14"/>
                <w:szCs w:val="14"/>
                <w:lang w:eastAsia="en-GB"/>
              </w:rPr>
              <w:t>ur innstæðan ásamt vöxtum ávöxtuð áfram hjá sjóðnum og greidd út skv. útborgunarreglum 7. gr.</w:t>
            </w:r>
          </w:p>
          <w:p w14:paraId="534F2639" w14:textId="77777777" w:rsidR="000746FC" w:rsidRPr="00E15C53" w:rsidRDefault="000746FC" w:rsidP="0061194A">
            <w:pPr>
              <w:autoSpaceDE w:val="0"/>
              <w:autoSpaceDN w:val="0"/>
              <w:adjustRightInd w:val="0"/>
              <w:jc w:val="both"/>
              <w:rPr>
                <w:rFonts w:cs="Avenir-Heavy"/>
                <w:b/>
                <w:sz w:val="14"/>
                <w:szCs w:val="14"/>
                <w:lang w:eastAsia="en-GB"/>
              </w:rPr>
            </w:pPr>
            <w:r w:rsidRPr="00E15C53">
              <w:rPr>
                <w:rFonts w:cs="Avenir-Heavy"/>
                <w:b/>
                <w:sz w:val="14"/>
                <w:szCs w:val="14"/>
                <w:lang w:eastAsia="en-GB"/>
              </w:rPr>
              <w:t>9. gr. Flutningur milli vörsluaðila</w:t>
            </w:r>
          </w:p>
          <w:p w14:paraId="1E7A45F4" w14:textId="77777777" w:rsidR="000746FC" w:rsidRPr="00E15C53" w:rsidRDefault="000746FC" w:rsidP="0061194A">
            <w:pPr>
              <w:autoSpaceDE w:val="0"/>
              <w:autoSpaceDN w:val="0"/>
              <w:adjustRightInd w:val="0"/>
              <w:jc w:val="both"/>
              <w:rPr>
                <w:rFonts w:ascii="Calibri" w:eastAsia="Calibri" w:hAnsi="Calibri" w:cs="Avenir-Light"/>
                <w:sz w:val="14"/>
                <w:szCs w:val="14"/>
                <w:lang w:eastAsia="en-GB"/>
              </w:rPr>
            </w:pPr>
            <w:r w:rsidRPr="00E15C53">
              <w:rPr>
                <w:rFonts w:ascii="Calibri" w:eastAsia="Calibri" w:hAnsi="Calibri" w:cs="Avenir-Light"/>
                <w:sz w:val="14"/>
                <w:szCs w:val="14"/>
                <w:lang w:eastAsia="en-GB"/>
              </w:rPr>
              <w:t>Heimilt er að flytja innstæðu til annarra vörsluaðila sem geta boðið samninga af þessu tagi, sbr. 3. mgr. 8. gr. laga nr. 129/1997, óski rétthafi eftir því við Frjálsa lífeyrissjóðinn með skriflegri tilkynningu. Flutningurinn skal eiga sér stað innan tvegg</w:t>
            </w:r>
            <w:r>
              <w:rPr>
                <w:rFonts w:ascii="Calibri" w:eastAsia="Calibri" w:hAnsi="Calibri" w:cs="Avenir-Light"/>
                <w:sz w:val="14"/>
                <w:szCs w:val="14"/>
                <w:lang w:eastAsia="en-GB"/>
              </w:rPr>
              <w:t>ja mánaða frá móttöku flutningsbeiðni frá rétthafa. Kostn</w:t>
            </w:r>
            <w:r w:rsidRPr="00E15C53">
              <w:rPr>
                <w:rFonts w:ascii="Calibri" w:eastAsia="Calibri" w:hAnsi="Calibri" w:cs="Avenir-Light"/>
                <w:sz w:val="14"/>
                <w:szCs w:val="14"/>
                <w:lang w:eastAsia="en-GB"/>
              </w:rPr>
              <w:t>aður vegna flutnings ræðst af gildandi verðskrá</w:t>
            </w:r>
            <w:r>
              <w:rPr>
                <w:rFonts w:ascii="Calibri" w:eastAsia="Calibri" w:hAnsi="Calibri" w:cs="Avenir-Light"/>
                <w:sz w:val="14"/>
                <w:szCs w:val="14"/>
                <w:lang w:eastAsia="en-GB"/>
              </w:rPr>
              <w:t xml:space="preserve"> sjóðsins á hverjum tíma, að há</w:t>
            </w:r>
            <w:r w:rsidRPr="00E15C53">
              <w:rPr>
                <w:rFonts w:ascii="Calibri" w:eastAsia="Calibri" w:hAnsi="Calibri" w:cs="Avenir-Light"/>
                <w:sz w:val="14"/>
                <w:szCs w:val="14"/>
                <w:lang w:eastAsia="en-GB"/>
              </w:rPr>
              <w:t>marki 1</w:t>
            </w:r>
            <w:r>
              <w:rPr>
                <w:rFonts w:ascii="Calibri" w:eastAsia="Calibri" w:hAnsi="Calibri" w:cs="Avenir-Light"/>
                <w:sz w:val="14"/>
                <w:szCs w:val="14"/>
                <w:lang w:eastAsia="en-GB"/>
              </w:rPr>
              <w:t>% af inneign rétthafa en að lág</w:t>
            </w:r>
            <w:r w:rsidRPr="00E15C53">
              <w:rPr>
                <w:rFonts w:ascii="Calibri" w:eastAsia="Calibri" w:hAnsi="Calibri" w:cs="Avenir-Light"/>
                <w:sz w:val="14"/>
                <w:szCs w:val="14"/>
                <w:lang w:eastAsia="en-GB"/>
              </w:rPr>
              <w:t>marki 5.000 kr.</w:t>
            </w:r>
          </w:p>
          <w:p w14:paraId="53DA7509" w14:textId="77777777" w:rsidR="000746FC" w:rsidRPr="00E15C53" w:rsidRDefault="000746FC" w:rsidP="0061194A">
            <w:pPr>
              <w:autoSpaceDE w:val="0"/>
              <w:autoSpaceDN w:val="0"/>
              <w:adjustRightInd w:val="0"/>
              <w:jc w:val="both"/>
              <w:rPr>
                <w:rFonts w:ascii="Calibri" w:eastAsia="Calibri" w:hAnsi="Calibri" w:cs="Avenir-Heavy"/>
                <w:b/>
                <w:sz w:val="14"/>
                <w:szCs w:val="14"/>
                <w:lang w:eastAsia="en-GB"/>
              </w:rPr>
            </w:pPr>
            <w:r w:rsidRPr="00E15C53">
              <w:rPr>
                <w:rFonts w:ascii="Calibri" w:eastAsia="Calibri" w:hAnsi="Calibri" w:cs="Avenir-Heavy"/>
                <w:b/>
                <w:sz w:val="14"/>
                <w:szCs w:val="14"/>
                <w:lang w:eastAsia="en-GB"/>
              </w:rPr>
              <w:t>10. gr. Framsal réttinda</w:t>
            </w:r>
          </w:p>
          <w:p w14:paraId="7EC8BA79" w14:textId="77777777" w:rsidR="000746FC" w:rsidRPr="00E15C53" w:rsidRDefault="000746FC" w:rsidP="0061194A">
            <w:pPr>
              <w:autoSpaceDE w:val="0"/>
              <w:autoSpaceDN w:val="0"/>
              <w:adjustRightInd w:val="0"/>
              <w:jc w:val="both"/>
              <w:rPr>
                <w:rFonts w:ascii="Calibri" w:eastAsia="Calibri" w:hAnsi="Calibri" w:cs="Avenir-Light"/>
                <w:sz w:val="14"/>
                <w:szCs w:val="14"/>
                <w:lang w:eastAsia="en-GB"/>
              </w:rPr>
            </w:pPr>
            <w:r w:rsidRPr="00E15C53">
              <w:rPr>
                <w:rFonts w:ascii="Calibri" w:eastAsia="Calibri" w:hAnsi="Calibri" w:cs="Avenir-Light"/>
                <w:sz w:val="14"/>
                <w:szCs w:val="14"/>
                <w:lang w:eastAsia="en-GB"/>
              </w:rPr>
              <w:t>Rétthafa er óheimilt að framselja, veðsetj</w:t>
            </w:r>
            <w:r>
              <w:rPr>
                <w:rFonts w:ascii="Calibri" w:eastAsia="Calibri" w:hAnsi="Calibri" w:cs="Avenir-Light"/>
                <w:sz w:val="14"/>
                <w:szCs w:val="14"/>
                <w:lang w:eastAsia="en-GB"/>
              </w:rPr>
              <w:t>a eða á annan hátt ráðstafa inn</w:t>
            </w:r>
            <w:r w:rsidRPr="00E15C53">
              <w:rPr>
                <w:rFonts w:ascii="Calibri" w:eastAsia="Calibri" w:hAnsi="Calibri" w:cs="Avenir-Light"/>
                <w:sz w:val="14"/>
                <w:szCs w:val="14"/>
                <w:lang w:eastAsia="en-GB"/>
              </w:rPr>
              <w:t>stæðu eða réttindum skv. samnin</w:t>
            </w:r>
            <w:r>
              <w:rPr>
                <w:rFonts w:ascii="Calibri" w:eastAsia="Calibri" w:hAnsi="Calibri" w:cs="Avenir-Light"/>
                <w:sz w:val="14"/>
                <w:szCs w:val="14"/>
                <w:lang w:eastAsia="en-GB"/>
              </w:rPr>
              <w:t>gi um aðild að Frjálsa lífeyrissjóðn</w:t>
            </w:r>
            <w:r w:rsidRPr="00E15C53">
              <w:rPr>
                <w:rFonts w:ascii="Calibri" w:eastAsia="Calibri" w:hAnsi="Calibri" w:cs="Avenir-Light"/>
                <w:sz w:val="14"/>
                <w:szCs w:val="14"/>
                <w:lang w:eastAsia="en-GB"/>
              </w:rPr>
              <w:t>um, nema samkvæmt 1.-3. tl. 3. mgr. 14. gr. laga nr. 129/1997.</w:t>
            </w:r>
          </w:p>
          <w:p w14:paraId="75A6BCD9" w14:textId="77777777" w:rsidR="000746FC" w:rsidRPr="00E15C53" w:rsidRDefault="000746FC" w:rsidP="0061194A">
            <w:pPr>
              <w:autoSpaceDE w:val="0"/>
              <w:autoSpaceDN w:val="0"/>
              <w:adjustRightInd w:val="0"/>
              <w:jc w:val="both"/>
              <w:rPr>
                <w:rFonts w:ascii="Calibri" w:eastAsia="Calibri" w:hAnsi="Calibri" w:cs="Avenir-Heavy"/>
                <w:b/>
                <w:sz w:val="14"/>
                <w:szCs w:val="14"/>
                <w:lang w:eastAsia="en-GB"/>
              </w:rPr>
            </w:pPr>
            <w:r w:rsidRPr="00E15C53">
              <w:rPr>
                <w:rFonts w:ascii="Calibri" w:eastAsia="Calibri" w:hAnsi="Calibri" w:cs="Avenir-Heavy"/>
                <w:b/>
                <w:sz w:val="14"/>
                <w:szCs w:val="14"/>
                <w:lang w:eastAsia="en-GB"/>
              </w:rPr>
              <w:t>11. gr. Breyting á reglum</w:t>
            </w:r>
          </w:p>
          <w:p w14:paraId="18A7CBA4" w14:textId="77777777" w:rsidR="000746FC" w:rsidRPr="00E15C53" w:rsidRDefault="000746FC" w:rsidP="0061194A">
            <w:pPr>
              <w:autoSpaceDE w:val="0"/>
              <w:autoSpaceDN w:val="0"/>
              <w:adjustRightInd w:val="0"/>
              <w:jc w:val="both"/>
              <w:rPr>
                <w:rFonts w:ascii="Calibri" w:eastAsia="Calibri" w:hAnsi="Calibri" w:cs="Avenir-Light"/>
                <w:sz w:val="14"/>
                <w:szCs w:val="14"/>
                <w:lang w:eastAsia="en-GB"/>
              </w:rPr>
            </w:pPr>
            <w:r w:rsidRPr="00E15C53">
              <w:rPr>
                <w:rFonts w:ascii="Calibri" w:eastAsia="Calibri" w:hAnsi="Calibri" w:cs="Avenir-Light"/>
                <w:sz w:val="14"/>
                <w:szCs w:val="14"/>
                <w:lang w:eastAsia="en-GB"/>
              </w:rPr>
              <w:t>Frjálsa lífeyrissjóðnum er heimilt a</w:t>
            </w:r>
            <w:r>
              <w:rPr>
                <w:rFonts w:ascii="Calibri" w:eastAsia="Calibri" w:hAnsi="Calibri" w:cs="Avenir-Light"/>
                <w:sz w:val="14"/>
                <w:szCs w:val="14"/>
                <w:lang w:eastAsia="en-GB"/>
              </w:rPr>
              <w:t>ð breyta reglum þessum að undan</w:t>
            </w:r>
            <w:r w:rsidRPr="00E15C53">
              <w:rPr>
                <w:rFonts w:ascii="Calibri" w:eastAsia="Calibri" w:hAnsi="Calibri" w:cs="Avenir-Light"/>
                <w:sz w:val="14"/>
                <w:szCs w:val="14"/>
                <w:lang w:eastAsia="en-GB"/>
              </w:rPr>
              <w:t>genginni staðfestingu fjármálaráðherra.</w:t>
            </w:r>
          </w:p>
          <w:p w14:paraId="783C2153" w14:textId="77777777" w:rsidR="000746FC" w:rsidRPr="00E15C53" w:rsidRDefault="000746FC" w:rsidP="0061194A">
            <w:pPr>
              <w:autoSpaceDE w:val="0"/>
              <w:autoSpaceDN w:val="0"/>
              <w:adjustRightInd w:val="0"/>
              <w:jc w:val="both"/>
              <w:rPr>
                <w:rFonts w:ascii="Calibri" w:eastAsia="Calibri" w:hAnsi="Calibri" w:cs="Avenir-Heavy"/>
                <w:b/>
                <w:sz w:val="14"/>
                <w:szCs w:val="14"/>
                <w:lang w:eastAsia="en-GB"/>
              </w:rPr>
            </w:pPr>
            <w:r w:rsidRPr="00E15C53">
              <w:rPr>
                <w:rFonts w:ascii="Calibri" w:eastAsia="Calibri" w:hAnsi="Calibri" w:cs="Avenir-Heavy"/>
                <w:b/>
                <w:sz w:val="14"/>
                <w:szCs w:val="14"/>
                <w:lang w:eastAsia="en-GB"/>
              </w:rPr>
              <w:t>12. gr. Innheimta</w:t>
            </w:r>
          </w:p>
          <w:p w14:paraId="35D769AF" w14:textId="77777777" w:rsidR="000746FC" w:rsidRPr="00E15C53" w:rsidRDefault="000746FC" w:rsidP="0061194A">
            <w:pPr>
              <w:autoSpaceDE w:val="0"/>
              <w:autoSpaceDN w:val="0"/>
              <w:adjustRightInd w:val="0"/>
              <w:jc w:val="both"/>
              <w:rPr>
                <w:rFonts w:cs="Avenir-Heavy"/>
                <w:sz w:val="14"/>
                <w:szCs w:val="14"/>
                <w:lang w:eastAsia="en-GB"/>
              </w:rPr>
            </w:pPr>
            <w:r w:rsidRPr="00E15C53">
              <w:rPr>
                <w:rFonts w:ascii="Calibri" w:eastAsia="Calibri" w:hAnsi="Calibri" w:cs="Avenir-Light"/>
                <w:sz w:val="14"/>
                <w:szCs w:val="14"/>
                <w:lang w:eastAsia="en-GB"/>
              </w:rPr>
              <w:t>Ábyrgð á skilum launagreiðanda á afdregnum iðgjöldum lífeyrissparnaðar er hjá rétthafa. Óski rétthafi eftir aðstoð Frjálsa lífeyrissjóðsins við innheimtu vangoldinna iðgjalda skal tilkynning þess efnis berast með skriflegum hætti til sjóðsins ásamt launaseðlum sem sýna afdregin iðgjöld.</w:t>
            </w:r>
          </w:p>
          <w:p w14:paraId="23FE3438" w14:textId="77777777" w:rsidR="000746FC" w:rsidRPr="00E15C53" w:rsidRDefault="000746FC" w:rsidP="0061194A">
            <w:pPr>
              <w:autoSpaceDE w:val="0"/>
              <w:autoSpaceDN w:val="0"/>
              <w:adjustRightInd w:val="0"/>
              <w:jc w:val="both"/>
              <w:rPr>
                <w:sz w:val="14"/>
                <w:szCs w:val="14"/>
              </w:rPr>
            </w:pPr>
          </w:p>
        </w:tc>
      </w:tr>
    </w:tbl>
    <w:p w14:paraId="65E2C400" w14:textId="77777777" w:rsidR="001A7EEC" w:rsidRPr="001A7EEC" w:rsidRDefault="001A7EEC" w:rsidP="000746FC">
      <w:pPr>
        <w:rPr>
          <w:sz w:val="10"/>
        </w:rPr>
      </w:pPr>
    </w:p>
    <w:sectPr w:rsidR="001A7EEC" w:rsidRPr="001A7EEC" w:rsidSect="00710FD2">
      <w:footerReference w:type="default" r:id="rId15"/>
      <w:pgSz w:w="11906" w:h="16838" w:code="9"/>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B30D" w14:textId="77777777" w:rsidR="00DB263C" w:rsidRDefault="00DB263C" w:rsidP="006C3641">
      <w:r>
        <w:separator/>
      </w:r>
    </w:p>
  </w:endnote>
  <w:endnote w:type="continuationSeparator" w:id="0">
    <w:p w14:paraId="5E3C7692" w14:textId="77777777" w:rsidR="00DB263C" w:rsidRDefault="00DB263C" w:rsidP="006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venir-Light">
    <w:charset w:val="00"/>
    <w:family w:val="swiss"/>
    <w:pitch w:val="variable"/>
    <w:sig w:usb0="00000003" w:usb1="00000000" w:usb2="00000000" w:usb3="00000000" w:csb0="00000001" w:csb1="00000000"/>
  </w:font>
  <w:font w:name="Avenir-Roman">
    <w:charset w:val="00"/>
    <w:family w:val="swiss"/>
    <w:pitch w:val="variable"/>
    <w:sig w:usb0="00000003" w:usb1="00000000" w:usb2="00000000" w:usb3="00000000" w:csb0="00000001" w:csb1="00000000"/>
  </w:font>
  <w:font w:name="Avenir-Heavy">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115"/>
      <w:gridCol w:w="3759"/>
    </w:tblGrid>
    <w:tr w:rsidR="007A34DE" w14:paraId="65E2C40C" w14:textId="77777777" w:rsidTr="007A34DE">
      <w:trPr>
        <w:trHeight w:val="794"/>
      </w:trPr>
      <w:tc>
        <w:tcPr>
          <w:tcW w:w="1741" w:type="pct"/>
          <w:vAlign w:val="bottom"/>
        </w:tcPr>
        <w:p w14:paraId="65E2C409" w14:textId="12DD236B" w:rsidR="007A34DE" w:rsidRDefault="007A34DE" w:rsidP="00884C60">
          <w:pPr>
            <w:rPr>
              <w:rStyle w:val="Emphasis"/>
            </w:rPr>
          </w:pPr>
          <w:r w:rsidRPr="00C21889">
            <w:rPr>
              <w:rStyle w:val="Emphasis"/>
            </w:rPr>
            <w:t xml:space="preserve">Ebl. </w:t>
          </w:r>
          <w:bookmarkStart w:id="12" w:name="T_NR"/>
          <w:r>
            <w:rPr>
              <w:rStyle w:val="Emphasis"/>
            </w:rPr>
            <w:t>18</w:t>
          </w:r>
          <w:r w:rsidR="00DD6208">
            <w:rPr>
              <w:rStyle w:val="Emphasis"/>
            </w:rPr>
            <w:t>.9.1.2.40</w:t>
          </w:r>
          <w:bookmarkEnd w:id="12"/>
          <w:r>
            <w:rPr>
              <w:rStyle w:val="Emphasis"/>
            </w:rPr>
            <w:t xml:space="preserve">  /  </w:t>
          </w:r>
          <w:r w:rsidR="00EE61BE">
            <w:rPr>
              <w:rStyle w:val="Emphasis"/>
            </w:rPr>
            <w:t>0</w:t>
          </w:r>
          <w:r w:rsidR="000746FC">
            <w:rPr>
              <w:rStyle w:val="Emphasis"/>
            </w:rPr>
            <w:t>3</w:t>
          </w:r>
          <w:r w:rsidR="00752E3D">
            <w:rPr>
              <w:rStyle w:val="Emphasis"/>
            </w:rPr>
            <w:t>.</w:t>
          </w:r>
          <w:r w:rsidR="00752E94">
            <w:rPr>
              <w:rStyle w:val="Emphasis"/>
            </w:rPr>
            <w:t>21</w:t>
          </w:r>
          <w:r w:rsidR="00752E3D">
            <w:rPr>
              <w:rStyle w:val="Emphasis"/>
            </w:rPr>
            <w:t xml:space="preserve"> </w:t>
          </w:r>
          <w:r>
            <w:rPr>
              <w:rStyle w:val="Emphasis"/>
            </w:rPr>
            <w:t xml:space="preserve"> /  </w:t>
          </w:r>
          <w:r w:rsidR="000746FC">
            <w:rPr>
              <w:rStyle w:val="Emphasis"/>
            </w:rPr>
            <w:t>7 ár+</w:t>
          </w:r>
        </w:p>
      </w:tc>
      <w:tc>
        <w:tcPr>
          <w:tcW w:w="1477" w:type="pct"/>
          <w:vAlign w:val="bottom"/>
        </w:tcPr>
        <w:sdt>
          <w:sdtPr>
            <w:rPr>
              <w:rStyle w:val="Emphasis"/>
            </w:rPr>
            <w:id w:val="-379940538"/>
            <w:docPartObj>
              <w:docPartGallery w:val="Page Numbers (Top of Page)"/>
              <w:docPartUnique/>
            </w:docPartObj>
          </w:sdtPr>
          <w:sdtEndPr>
            <w:rPr>
              <w:rStyle w:val="Emphasis"/>
            </w:rPr>
          </w:sdtEndPr>
          <w:sdtContent>
            <w:p w14:paraId="65E2C40A" w14:textId="77777777" w:rsidR="007A34DE" w:rsidRDefault="007A34DE" w:rsidP="007A34DE">
              <w:pPr>
                <w:jc w:val="center"/>
                <w:rPr>
                  <w:rStyle w:val="Emphasis"/>
                </w:rPr>
              </w:pPr>
              <w:r w:rsidRPr="00AB47BF">
                <w:rPr>
                  <w:rStyle w:val="Emphasis"/>
                </w:rPr>
                <w:t xml:space="preserve">Síða </w:t>
              </w:r>
              <w:r w:rsidRPr="00AB47BF">
                <w:rPr>
                  <w:rStyle w:val="Emphasis"/>
                </w:rPr>
                <w:fldChar w:fldCharType="begin"/>
              </w:r>
              <w:r w:rsidRPr="00AB47BF">
                <w:rPr>
                  <w:rStyle w:val="Emphasis"/>
                </w:rPr>
                <w:instrText>PAGE</w:instrText>
              </w:r>
              <w:r w:rsidRPr="00AB47BF">
                <w:rPr>
                  <w:rStyle w:val="Emphasis"/>
                </w:rPr>
                <w:fldChar w:fldCharType="separate"/>
              </w:r>
              <w:r w:rsidR="00884C60">
                <w:rPr>
                  <w:rStyle w:val="Emphasis"/>
                  <w:noProof/>
                </w:rPr>
                <w:t>1</w:t>
              </w:r>
              <w:r w:rsidRPr="00AB47BF">
                <w:rPr>
                  <w:rStyle w:val="Emphasis"/>
                </w:rPr>
                <w:fldChar w:fldCharType="end"/>
              </w:r>
              <w:r w:rsidRPr="00AB47BF">
                <w:rPr>
                  <w:rStyle w:val="Emphasis"/>
                </w:rPr>
                <w:t xml:space="preserve"> af </w:t>
              </w:r>
              <w:r w:rsidRPr="00AB47BF">
                <w:rPr>
                  <w:rStyle w:val="Emphasis"/>
                </w:rPr>
                <w:fldChar w:fldCharType="begin"/>
              </w:r>
              <w:r w:rsidRPr="00AB47BF">
                <w:rPr>
                  <w:rStyle w:val="Emphasis"/>
                </w:rPr>
                <w:instrText>NUMPAGES</w:instrText>
              </w:r>
              <w:r w:rsidRPr="00AB47BF">
                <w:rPr>
                  <w:rStyle w:val="Emphasis"/>
                </w:rPr>
                <w:fldChar w:fldCharType="separate"/>
              </w:r>
              <w:r w:rsidR="00884C60">
                <w:rPr>
                  <w:rStyle w:val="Emphasis"/>
                  <w:noProof/>
                </w:rPr>
                <w:t>2</w:t>
              </w:r>
              <w:r w:rsidRPr="00AB47BF">
                <w:rPr>
                  <w:rStyle w:val="Emphasis"/>
                </w:rPr>
                <w:fldChar w:fldCharType="end"/>
              </w:r>
            </w:p>
          </w:sdtContent>
        </w:sdt>
      </w:tc>
      <w:tc>
        <w:tcPr>
          <w:tcW w:w="1782" w:type="pct"/>
          <w:vAlign w:val="bottom"/>
        </w:tcPr>
        <w:p w14:paraId="65E2C40B" w14:textId="77777777" w:rsidR="007A34DE" w:rsidRDefault="007A34DE" w:rsidP="00953C8C">
          <w:pPr>
            <w:jc w:val="right"/>
            <w:rPr>
              <w:rStyle w:val="Emphasis"/>
            </w:rPr>
          </w:pPr>
          <w:bookmarkStart w:id="13" w:name="STRIKAM"/>
          <w:bookmarkEnd w:id="13"/>
        </w:p>
      </w:tc>
    </w:tr>
  </w:tbl>
  <w:p w14:paraId="65E2C40D" w14:textId="77777777" w:rsidR="00627B33" w:rsidRPr="003A6A66" w:rsidRDefault="00627B33" w:rsidP="003A6A66">
    <w:pPr>
      <w:pStyle w:val="Footer"/>
      <w:rPr>
        <w:rStyle w:val="Emphasis"/>
        <w:iCs w:val="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4165" w14:textId="77777777" w:rsidR="00DB263C" w:rsidRDefault="00DB263C" w:rsidP="006C3641">
      <w:r>
        <w:separator/>
      </w:r>
    </w:p>
  </w:footnote>
  <w:footnote w:type="continuationSeparator" w:id="0">
    <w:p w14:paraId="3624C20F" w14:textId="77777777" w:rsidR="00DB263C" w:rsidRDefault="00DB263C" w:rsidP="006C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2AB5"/>
    <w:multiLevelType w:val="hybridMultilevel"/>
    <w:tmpl w:val="0B9CC802"/>
    <w:lvl w:ilvl="0" w:tplc="2C02A5B2">
      <w:start w:val="60"/>
      <w:numFmt w:val="bullet"/>
      <w:lvlText w:val="-"/>
      <w:lvlJc w:val="left"/>
      <w:pPr>
        <w:ind w:left="461" w:hanging="360"/>
      </w:pPr>
      <w:rPr>
        <w:rFonts w:ascii="Times New Roman" w:eastAsia="Times New Roman" w:hAnsi="Times New Roman" w:cs="Times New Roman" w:hint="default"/>
      </w:rPr>
    </w:lvl>
    <w:lvl w:ilvl="1" w:tplc="040F0003" w:tentative="1">
      <w:start w:val="1"/>
      <w:numFmt w:val="bullet"/>
      <w:lvlText w:val="o"/>
      <w:lvlJc w:val="left"/>
      <w:pPr>
        <w:ind w:left="1181" w:hanging="360"/>
      </w:pPr>
      <w:rPr>
        <w:rFonts w:ascii="Courier New" w:hAnsi="Courier New" w:cs="Courier New" w:hint="default"/>
      </w:rPr>
    </w:lvl>
    <w:lvl w:ilvl="2" w:tplc="040F0005" w:tentative="1">
      <w:start w:val="1"/>
      <w:numFmt w:val="bullet"/>
      <w:lvlText w:val=""/>
      <w:lvlJc w:val="left"/>
      <w:pPr>
        <w:ind w:left="1901" w:hanging="360"/>
      </w:pPr>
      <w:rPr>
        <w:rFonts w:ascii="Wingdings" w:hAnsi="Wingdings" w:hint="default"/>
      </w:rPr>
    </w:lvl>
    <w:lvl w:ilvl="3" w:tplc="040F0001" w:tentative="1">
      <w:start w:val="1"/>
      <w:numFmt w:val="bullet"/>
      <w:lvlText w:val=""/>
      <w:lvlJc w:val="left"/>
      <w:pPr>
        <w:ind w:left="2621" w:hanging="360"/>
      </w:pPr>
      <w:rPr>
        <w:rFonts w:ascii="Symbol" w:hAnsi="Symbol" w:hint="default"/>
      </w:rPr>
    </w:lvl>
    <w:lvl w:ilvl="4" w:tplc="040F0003" w:tentative="1">
      <w:start w:val="1"/>
      <w:numFmt w:val="bullet"/>
      <w:lvlText w:val="o"/>
      <w:lvlJc w:val="left"/>
      <w:pPr>
        <w:ind w:left="3341" w:hanging="360"/>
      </w:pPr>
      <w:rPr>
        <w:rFonts w:ascii="Courier New" w:hAnsi="Courier New" w:cs="Courier New" w:hint="default"/>
      </w:rPr>
    </w:lvl>
    <w:lvl w:ilvl="5" w:tplc="040F0005" w:tentative="1">
      <w:start w:val="1"/>
      <w:numFmt w:val="bullet"/>
      <w:lvlText w:val=""/>
      <w:lvlJc w:val="left"/>
      <w:pPr>
        <w:ind w:left="4061" w:hanging="360"/>
      </w:pPr>
      <w:rPr>
        <w:rFonts w:ascii="Wingdings" w:hAnsi="Wingdings" w:hint="default"/>
      </w:rPr>
    </w:lvl>
    <w:lvl w:ilvl="6" w:tplc="040F0001" w:tentative="1">
      <w:start w:val="1"/>
      <w:numFmt w:val="bullet"/>
      <w:lvlText w:val=""/>
      <w:lvlJc w:val="left"/>
      <w:pPr>
        <w:ind w:left="4781" w:hanging="360"/>
      </w:pPr>
      <w:rPr>
        <w:rFonts w:ascii="Symbol" w:hAnsi="Symbol" w:hint="default"/>
      </w:rPr>
    </w:lvl>
    <w:lvl w:ilvl="7" w:tplc="040F0003" w:tentative="1">
      <w:start w:val="1"/>
      <w:numFmt w:val="bullet"/>
      <w:lvlText w:val="o"/>
      <w:lvlJc w:val="left"/>
      <w:pPr>
        <w:ind w:left="5501" w:hanging="360"/>
      </w:pPr>
      <w:rPr>
        <w:rFonts w:ascii="Courier New" w:hAnsi="Courier New" w:cs="Courier New" w:hint="default"/>
      </w:rPr>
    </w:lvl>
    <w:lvl w:ilvl="8" w:tplc="040F0005" w:tentative="1">
      <w:start w:val="1"/>
      <w:numFmt w:val="bullet"/>
      <w:lvlText w:val=""/>
      <w:lvlJc w:val="left"/>
      <w:pPr>
        <w:ind w:left="62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zbIAFn8Z3dL9d6cWGKpBR2Eieu8NZ+M6+HiDZLDRS7oDCsh6iv/tZcoHr5NNfbx7a7QRE0XGfyIo3wsdws6mA==" w:salt="WAdYYVzT152BOGRbf+b64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41"/>
    <w:rsid w:val="00004CCA"/>
    <w:rsid w:val="00022DDE"/>
    <w:rsid w:val="00061E59"/>
    <w:rsid w:val="000746FC"/>
    <w:rsid w:val="000962AA"/>
    <w:rsid w:val="000B6BB4"/>
    <w:rsid w:val="000F5667"/>
    <w:rsid w:val="0010014E"/>
    <w:rsid w:val="00140430"/>
    <w:rsid w:val="00140A64"/>
    <w:rsid w:val="00161D01"/>
    <w:rsid w:val="00170CD1"/>
    <w:rsid w:val="001A49D0"/>
    <w:rsid w:val="001A7EEC"/>
    <w:rsid w:val="001D47EF"/>
    <w:rsid w:val="002015C2"/>
    <w:rsid w:val="00223911"/>
    <w:rsid w:val="002249EA"/>
    <w:rsid w:val="00247F0D"/>
    <w:rsid w:val="00255CE0"/>
    <w:rsid w:val="002A6CAC"/>
    <w:rsid w:val="002C0FBA"/>
    <w:rsid w:val="002E385E"/>
    <w:rsid w:val="002E4620"/>
    <w:rsid w:val="002F3F46"/>
    <w:rsid w:val="00346FF8"/>
    <w:rsid w:val="003A6A66"/>
    <w:rsid w:val="003B4565"/>
    <w:rsid w:val="003E4554"/>
    <w:rsid w:val="003E7749"/>
    <w:rsid w:val="00410AD4"/>
    <w:rsid w:val="00431FEC"/>
    <w:rsid w:val="00453971"/>
    <w:rsid w:val="00471AC1"/>
    <w:rsid w:val="00472BAF"/>
    <w:rsid w:val="004925B1"/>
    <w:rsid w:val="004936A6"/>
    <w:rsid w:val="004C62C8"/>
    <w:rsid w:val="004E46B9"/>
    <w:rsid w:val="004E6D71"/>
    <w:rsid w:val="0050709F"/>
    <w:rsid w:val="00511289"/>
    <w:rsid w:val="00543DE7"/>
    <w:rsid w:val="00554C8C"/>
    <w:rsid w:val="00595233"/>
    <w:rsid w:val="005C4E86"/>
    <w:rsid w:val="005C6BAF"/>
    <w:rsid w:val="005D2EFC"/>
    <w:rsid w:val="00627B33"/>
    <w:rsid w:val="00662239"/>
    <w:rsid w:val="00665329"/>
    <w:rsid w:val="00667B1D"/>
    <w:rsid w:val="00672CAA"/>
    <w:rsid w:val="006C3641"/>
    <w:rsid w:val="006F3162"/>
    <w:rsid w:val="00704931"/>
    <w:rsid w:val="00710FD2"/>
    <w:rsid w:val="00752E3D"/>
    <w:rsid w:val="00752E94"/>
    <w:rsid w:val="007606C8"/>
    <w:rsid w:val="00767075"/>
    <w:rsid w:val="00777B0A"/>
    <w:rsid w:val="00777E67"/>
    <w:rsid w:val="007935A7"/>
    <w:rsid w:val="007A011E"/>
    <w:rsid w:val="007A34DE"/>
    <w:rsid w:val="007B19BF"/>
    <w:rsid w:val="007B4020"/>
    <w:rsid w:val="007D500B"/>
    <w:rsid w:val="007E58F8"/>
    <w:rsid w:val="008134AD"/>
    <w:rsid w:val="00833704"/>
    <w:rsid w:val="00834478"/>
    <w:rsid w:val="008472B0"/>
    <w:rsid w:val="00847DC9"/>
    <w:rsid w:val="00860D17"/>
    <w:rsid w:val="00872F3A"/>
    <w:rsid w:val="00884C60"/>
    <w:rsid w:val="00886A9F"/>
    <w:rsid w:val="008D2937"/>
    <w:rsid w:val="008F56BB"/>
    <w:rsid w:val="00910D42"/>
    <w:rsid w:val="00930173"/>
    <w:rsid w:val="00940AD4"/>
    <w:rsid w:val="00941494"/>
    <w:rsid w:val="0094798B"/>
    <w:rsid w:val="00953C8C"/>
    <w:rsid w:val="00975CB0"/>
    <w:rsid w:val="009775E4"/>
    <w:rsid w:val="00997AF3"/>
    <w:rsid w:val="009B7364"/>
    <w:rsid w:val="009D0C8B"/>
    <w:rsid w:val="009D68BB"/>
    <w:rsid w:val="009E7D29"/>
    <w:rsid w:val="00A02ADE"/>
    <w:rsid w:val="00A03885"/>
    <w:rsid w:val="00A37E88"/>
    <w:rsid w:val="00A44DD1"/>
    <w:rsid w:val="00A82CB5"/>
    <w:rsid w:val="00AA02B2"/>
    <w:rsid w:val="00AB0BE1"/>
    <w:rsid w:val="00AD2A5F"/>
    <w:rsid w:val="00AD4BD0"/>
    <w:rsid w:val="00AE0290"/>
    <w:rsid w:val="00AE1089"/>
    <w:rsid w:val="00AE3CEC"/>
    <w:rsid w:val="00AE49A5"/>
    <w:rsid w:val="00B06230"/>
    <w:rsid w:val="00B21305"/>
    <w:rsid w:val="00B2400B"/>
    <w:rsid w:val="00B462AE"/>
    <w:rsid w:val="00B61B0C"/>
    <w:rsid w:val="00B73A40"/>
    <w:rsid w:val="00BA28BE"/>
    <w:rsid w:val="00BB05EB"/>
    <w:rsid w:val="00BE05D1"/>
    <w:rsid w:val="00BF5401"/>
    <w:rsid w:val="00C06448"/>
    <w:rsid w:val="00C16F95"/>
    <w:rsid w:val="00C22118"/>
    <w:rsid w:val="00C32DD7"/>
    <w:rsid w:val="00C467DE"/>
    <w:rsid w:val="00C57596"/>
    <w:rsid w:val="00C753C1"/>
    <w:rsid w:val="00C836C4"/>
    <w:rsid w:val="00CA1F66"/>
    <w:rsid w:val="00CB2510"/>
    <w:rsid w:val="00CF78B2"/>
    <w:rsid w:val="00DA336E"/>
    <w:rsid w:val="00DB263C"/>
    <w:rsid w:val="00DD6208"/>
    <w:rsid w:val="00DE4D03"/>
    <w:rsid w:val="00E048BF"/>
    <w:rsid w:val="00E15C53"/>
    <w:rsid w:val="00E44AA9"/>
    <w:rsid w:val="00E64462"/>
    <w:rsid w:val="00E722D4"/>
    <w:rsid w:val="00E76333"/>
    <w:rsid w:val="00E90158"/>
    <w:rsid w:val="00EE5526"/>
    <w:rsid w:val="00EE61BE"/>
    <w:rsid w:val="00EE6361"/>
    <w:rsid w:val="00EF7BFA"/>
    <w:rsid w:val="00F16A1D"/>
    <w:rsid w:val="00F70221"/>
    <w:rsid w:val="00F84536"/>
    <w:rsid w:val="00FD7F8A"/>
    <w:rsid w:val="00FF13BD"/>
  </w:rsids>
  <m:mathPr>
    <m:mathFont m:val="Cambria Math"/>
    <m:brkBin m:val="before"/>
    <m:brkBinSub m:val="--"/>
    <m:smallFrac m:val="0"/>
    <m:dispDef/>
    <m:lMargin m:val="0"/>
    <m:rMargin m:val="0"/>
    <m:defJc m:val="centerGroup"/>
    <m:wrapIndent m:val="1440"/>
    <m:intLim m:val="subSup"/>
    <m:naryLim m:val="undOvr"/>
  </m:mathPr>
  <w:themeFontLang w:val="is-I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2C277"/>
  <w15:docId w15:val="{364A3B42-FAA2-4161-B092-97EEC8E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3641"/>
    <w:pPr>
      <w:spacing w:after="0" w:line="240" w:lineRule="auto"/>
    </w:pPr>
    <w:rPr>
      <w:sz w:val="24"/>
      <w:szCs w:val="24"/>
    </w:rPr>
  </w:style>
  <w:style w:type="paragraph" w:styleId="Heading1">
    <w:name w:val="heading 1"/>
    <w:basedOn w:val="Normal"/>
    <w:next w:val="Normal"/>
    <w:link w:val="Heading1Char"/>
    <w:rsid w:val="00471AC1"/>
    <w:pPr>
      <w:keepNext/>
      <w:keepLines/>
      <w:spacing w:before="480"/>
      <w:outlineLvl w:val="0"/>
    </w:pPr>
    <w:rPr>
      <w:rFonts w:ascii="Calibri" w:eastAsiaTheme="majorEastAsia" w:hAnsi="Calibri" w:cstheme="majorBidi"/>
      <w:bCs/>
      <w:color w:val="365F91" w:themeColor="accent1" w:themeShade="BF"/>
      <w:sz w:val="20"/>
      <w:szCs w:val="28"/>
    </w:rPr>
  </w:style>
  <w:style w:type="paragraph" w:styleId="Heading2">
    <w:name w:val="heading 2"/>
    <w:basedOn w:val="Normal"/>
    <w:next w:val="Normal"/>
    <w:link w:val="Heading2Char"/>
    <w:rsid w:val="00AE0290"/>
    <w:pPr>
      <w:keepNext/>
      <w:jc w:val="center"/>
      <w:outlineLvl w:val="1"/>
    </w:pPr>
    <w:rPr>
      <w:rFonts w:ascii="Arial" w:eastAsia="Times New Roman" w:hAnsi="Arial" w:cs="Times New Roman"/>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1"/>
    <w:rPr>
      <w:rFonts w:ascii="Calibri" w:eastAsiaTheme="majorEastAsia" w:hAnsi="Calibri" w:cstheme="majorBidi"/>
      <w:bCs/>
      <w:color w:val="365F91" w:themeColor="accent1" w:themeShade="BF"/>
      <w:sz w:val="20"/>
      <w:szCs w:val="28"/>
    </w:rPr>
  </w:style>
  <w:style w:type="paragraph" w:styleId="Title">
    <w:name w:val="Title"/>
    <w:aliases w:val="Titill"/>
    <w:basedOn w:val="Normal"/>
    <w:next w:val="Normal"/>
    <w:link w:val="TitleChar"/>
    <w:uiPriority w:val="10"/>
    <w:qFormat/>
    <w:rsid w:val="00777B0A"/>
    <w:rPr>
      <w:rFonts w:eastAsiaTheme="majorEastAsia" w:cstheme="majorBidi"/>
      <w:color w:val="356BAE"/>
      <w:spacing w:val="20"/>
      <w:kern w:val="28"/>
      <w:sz w:val="36"/>
      <w:szCs w:val="52"/>
    </w:rPr>
  </w:style>
  <w:style w:type="character" w:customStyle="1" w:styleId="TitleChar">
    <w:name w:val="Title Char"/>
    <w:aliases w:val="Titill Char"/>
    <w:basedOn w:val="DefaultParagraphFont"/>
    <w:link w:val="Title"/>
    <w:uiPriority w:val="10"/>
    <w:rsid w:val="00777B0A"/>
    <w:rPr>
      <w:rFonts w:eastAsiaTheme="majorEastAsia" w:cstheme="majorBidi"/>
      <w:color w:val="356BAE"/>
      <w:spacing w:val="20"/>
      <w:kern w:val="28"/>
      <w:sz w:val="36"/>
      <w:szCs w:val="52"/>
    </w:rPr>
  </w:style>
  <w:style w:type="table" w:styleId="TableGrid">
    <w:name w:val="Table Grid"/>
    <w:basedOn w:val="TableNormal"/>
    <w:uiPriority w:val="59"/>
    <w:rsid w:val="006C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3641"/>
    <w:rPr>
      <w:rFonts w:ascii="Tahoma" w:hAnsi="Tahoma" w:cs="Tahoma"/>
      <w:sz w:val="16"/>
      <w:szCs w:val="16"/>
    </w:rPr>
  </w:style>
  <w:style w:type="character" w:customStyle="1" w:styleId="BalloonTextChar">
    <w:name w:val="Balloon Text Char"/>
    <w:basedOn w:val="DefaultParagraphFont"/>
    <w:link w:val="BalloonText"/>
    <w:rsid w:val="006C3641"/>
    <w:rPr>
      <w:rFonts w:ascii="Tahoma" w:hAnsi="Tahoma" w:cs="Tahoma"/>
      <w:sz w:val="16"/>
      <w:szCs w:val="16"/>
    </w:rPr>
  </w:style>
  <w:style w:type="paragraph" w:styleId="Subtitle">
    <w:name w:val="Subtitle"/>
    <w:aliases w:val="undirtitill"/>
    <w:basedOn w:val="Normal"/>
    <w:next w:val="Normal"/>
    <w:link w:val="SubtitleChar"/>
    <w:uiPriority w:val="11"/>
    <w:qFormat/>
    <w:rsid w:val="00777B0A"/>
    <w:pPr>
      <w:numPr>
        <w:ilvl w:val="1"/>
      </w:numPr>
      <w:pBdr>
        <w:bottom w:val="single" w:sz="8" w:space="1" w:color="F79646" w:themeColor="accent6"/>
      </w:pBdr>
    </w:pPr>
    <w:rPr>
      <w:rFonts w:eastAsiaTheme="majorEastAsia" w:cstheme="majorBidi"/>
      <w:iCs/>
      <w:color w:val="356BAE"/>
      <w:spacing w:val="15"/>
      <w:sz w:val="28"/>
    </w:rPr>
  </w:style>
  <w:style w:type="character" w:customStyle="1" w:styleId="SubtitleChar">
    <w:name w:val="Subtitle Char"/>
    <w:aliases w:val="undirtitill Char"/>
    <w:basedOn w:val="DefaultParagraphFont"/>
    <w:link w:val="Subtitle"/>
    <w:uiPriority w:val="11"/>
    <w:rsid w:val="00777B0A"/>
    <w:rPr>
      <w:rFonts w:eastAsiaTheme="majorEastAsia" w:cstheme="majorBidi"/>
      <w:iCs/>
      <w:color w:val="356BAE"/>
      <w:spacing w:val="15"/>
      <w:sz w:val="28"/>
      <w:szCs w:val="24"/>
    </w:rPr>
  </w:style>
  <w:style w:type="paragraph" w:styleId="NoSpacing">
    <w:name w:val="No Spacing"/>
    <w:uiPriority w:val="1"/>
    <w:rsid w:val="006C3641"/>
    <w:pPr>
      <w:spacing w:after="0" w:line="240" w:lineRule="auto"/>
    </w:pPr>
    <w:rPr>
      <w:sz w:val="24"/>
      <w:szCs w:val="24"/>
    </w:rPr>
  </w:style>
  <w:style w:type="paragraph" w:styleId="Header">
    <w:name w:val="header"/>
    <w:basedOn w:val="Normal"/>
    <w:link w:val="HeaderChar"/>
    <w:rsid w:val="006C3641"/>
    <w:pPr>
      <w:tabs>
        <w:tab w:val="center" w:pos="4536"/>
        <w:tab w:val="right" w:pos="9072"/>
      </w:tabs>
    </w:pPr>
  </w:style>
  <w:style w:type="character" w:customStyle="1" w:styleId="HeaderChar">
    <w:name w:val="Header Char"/>
    <w:basedOn w:val="DefaultParagraphFont"/>
    <w:link w:val="Header"/>
    <w:rsid w:val="006C3641"/>
    <w:rPr>
      <w:sz w:val="24"/>
      <w:szCs w:val="24"/>
    </w:rPr>
  </w:style>
  <w:style w:type="paragraph" w:styleId="Footer">
    <w:name w:val="footer"/>
    <w:basedOn w:val="Normal"/>
    <w:link w:val="FooterChar"/>
    <w:rsid w:val="006C3641"/>
    <w:pPr>
      <w:tabs>
        <w:tab w:val="center" w:pos="4536"/>
        <w:tab w:val="right" w:pos="9072"/>
      </w:tabs>
    </w:pPr>
  </w:style>
  <w:style w:type="character" w:customStyle="1" w:styleId="FooterChar">
    <w:name w:val="Footer Char"/>
    <w:basedOn w:val="DefaultParagraphFont"/>
    <w:link w:val="Footer"/>
    <w:rsid w:val="006C3641"/>
    <w:rPr>
      <w:sz w:val="24"/>
      <w:szCs w:val="24"/>
    </w:rPr>
  </w:style>
  <w:style w:type="character" w:styleId="SubtleEmphasis">
    <w:name w:val="Subtle Emphasis"/>
    <w:aliases w:val="Eyðublöð"/>
    <w:basedOn w:val="DefaultParagraphFont"/>
    <w:uiPriority w:val="19"/>
    <w:qFormat/>
    <w:rsid w:val="00752E3D"/>
    <w:rPr>
      <w:rFonts w:ascii="Calibri" w:hAnsi="Calibri"/>
      <w:i w:val="0"/>
      <w:iCs/>
      <w:color w:val="auto"/>
      <w:sz w:val="18"/>
    </w:rPr>
  </w:style>
  <w:style w:type="character" w:styleId="Emphasis">
    <w:name w:val="Emphasis"/>
    <w:aliases w:val="Footer númer"/>
    <w:basedOn w:val="DefaultParagraphFont"/>
    <w:uiPriority w:val="20"/>
    <w:qFormat/>
    <w:rsid w:val="00EE5526"/>
    <w:rPr>
      <w:rFonts w:asciiTheme="minorHAnsi" w:hAnsiTheme="minorHAnsi"/>
      <w:i w:val="0"/>
      <w:iCs/>
      <w:sz w:val="16"/>
    </w:rPr>
  </w:style>
  <w:style w:type="character" w:styleId="Strong">
    <w:name w:val="Strong"/>
    <w:aliases w:val="Undirletur í töflu"/>
    <w:basedOn w:val="DefaultParagraphFont"/>
    <w:uiPriority w:val="22"/>
    <w:qFormat/>
    <w:rsid w:val="00EE5526"/>
    <w:rPr>
      <w:rFonts w:ascii="Calibri" w:hAnsi="Calibri"/>
      <w:b w:val="0"/>
      <w:bCs/>
      <w:sz w:val="14"/>
    </w:rPr>
  </w:style>
  <w:style w:type="character" w:customStyle="1" w:styleId="Heading2Char">
    <w:name w:val="Heading 2 Char"/>
    <w:basedOn w:val="DefaultParagraphFont"/>
    <w:link w:val="Heading2"/>
    <w:rsid w:val="00AE0290"/>
    <w:rPr>
      <w:rFonts w:ascii="Arial" w:eastAsia="Times New Roman" w:hAnsi="Arial" w:cs="Times New Roman"/>
      <w:sz w:val="28"/>
      <w:szCs w:val="20"/>
      <w:u w:val="single"/>
      <w:lang w:val="en-GB"/>
    </w:rPr>
  </w:style>
  <w:style w:type="character" w:styleId="Hyperlink">
    <w:name w:val="Hyperlink"/>
    <w:rsid w:val="00E048BF"/>
    <w:rPr>
      <w:color w:val="0000FF"/>
      <w:u w:val="single"/>
    </w:rPr>
  </w:style>
  <w:style w:type="table" w:customStyle="1" w:styleId="TableGrid0">
    <w:name w:val="TableGrid"/>
    <w:rsid w:val="00752E3D"/>
    <w:pPr>
      <w:spacing w:after="0" w:line="240" w:lineRule="auto"/>
    </w:pPr>
    <w:rPr>
      <w:rFonts w:eastAsiaTheme="minorEastAsia"/>
      <w:lang w:eastAsia="is-IS"/>
    </w:rPr>
    <w:tblPr>
      <w:tblCellMar>
        <w:top w:w="0" w:type="dxa"/>
        <w:left w:w="0" w:type="dxa"/>
        <w:bottom w:w="0" w:type="dxa"/>
        <w:right w:w="0" w:type="dxa"/>
      </w:tblCellMar>
    </w:tblPr>
  </w:style>
  <w:style w:type="paragraph" w:styleId="ListParagraph">
    <w:name w:val="List Paragraph"/>
    <w:basedOn w:val="Normal"/>
    <w:uiPriority w:val="34"/>
    <w:qFormat/>
    <w:rsid w:val="00752E3D"/>
    <w:pPr>
      <w:spacing w:line="276" w:lineRule="auto"/>
      <w:ind w:left="720"/>
      <w:contextualSpacing/>
    </w:pPr>
    <w:rPr>
      <w:rFonts w:ascii="Calibri" w:eastAsia="Calibri" w:hAnsi="Calibri" w:cs="Calibri"/>
      <w:color w:val="000000"/>
      <w:sz w:val="22"/>
      <w:szCs w:val="22"/>
      <w:lang w:eastAsia="is-IS"/>
    </w:rPr>
  </w:style>
  <w:style w:type="paragraph" w:styleId="NormalWeb">
    <w:name w:val="Normal (Web)"/>
    <w:basedOn w:val="Normal"/>
    <w:uiPriority w:val="99"/>
    <w:unhideWhenUsed/>
    <w:rsid w:val="00752E3D"/>
    <w:pPr>
      <w:spacing w:before="100" w:beforeAutospacing="1" w:after="100" w:afterAutospacing="1"/>
    </w:pPr>
    <w:rPr>
      <w:rFonts w:ascii="Times New Roman" w:eastAsia="Times New Roman" w:hAnsi="Times New Roman" w:cs="Times New Roman"/>
      <w:lang w:eastAsia="is-IS"/>
    </w:rPr>
  </w:style>
  <w:style w:type="table" w:customStyle="1" w:styleId="TableGrid1">
    <w:name w:val="Table Grid1"/>
    <w:basedOn w:val="TableNormal"/>
    <w:next w:val="TableGrid"/>
    <w:uiPriority w:val="59"/>
    <w:rsid w:val="003E4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21305"/>
    <w:rPr>
      <w:sz w:val="16"/>
      <w:szCs w:val="16"/>
    </w:rPr>
  </w:style>
  <w:style w:type="paragraph" w:styleId="CommentText">
    <w:name w:val="annotation text"/>
    <w:basedOn w:val="Normal"/>
    <w:link w:val="CommentTextChar"/>
    <w:semiHidden/>
    <w:unhideWhenUsed/>
    <w:rsid w:val="00B21305"/>
    <w:rPr>
      <w:sz w:val="20"/>
      <w:szCs w:val="20"/>
    </w:rPr>
  </w:style>
  <w:style w:type="character" w:customStyle="1" w:styleId="CommentTextChar">
    <w:name w:val="Comment Text Char"/>
    <w:basedOn w:val="DefaultParagraphFont"/>
    <w:link w:val="CommentText"/>
    <w:semiHidden/>
    <w:rsid w:val="00B21305"/>
    <w:rPr>
      <w:sz w:val="20"/>
      <w:szCs w:val="20"/>
    </w:rPr>
  </w:style>
  <w:style w:type="paragraph" w:styleId="CommentSubject">
    <w:name w:val="annotation subject"/>
    <w:basedOn w:val="CommentText"/>
    <w:next w:val="CommentText"/>
    <w:link w:val="CommentSubjectChar"/>
    <w:semiHidden/>
    <w:unhideWhenUsed/>
    <w:rsid w:val="00B21305"/>
    <w:rPr>
      <w:b/>
      <w:bCs/>
    </w:rPr>
  </w:style>
  <w:style w:type="character" w:customStyle="1" w:styleId="CommentSubjectChar">
    <w:name w:val="Comment Subject Char"/>
    <w:basedOn w:val="CommentTextChar"/>
    <w:link w:val="CommentSubject"/>
    <w:semiHidden/>
    <w:rsid w:val="00B21305"/>
    <w:rPr>
      <w:b/>
      <w:bCs/>
      <w:sz w:val="20"/>
      <w:szCs w:val="20"/>
    </w:rPr>
  </w:style>
  <w:style w:type="character" w:styleId="UnresolvedMention">
    <w:name w:val="Unresolved Mention"/>
    <w:basedOn w:val="DefaultParagraphFont"/>
    <w:uiPriority w:val="99"/>
    <w:semiHidden/>
    <w:unhideWhenUsed/>
    <w:rsid w:val="0007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rjals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94340f58d9c463797252a58a74fbc73 xmlns="3bbe397a-f104-41c1-a027-56c503be3da2">
      <Terms xmlns="http://schemas.microsoft.com/office/infopath/2007/PartnerControls">
        <TermInfo xmlns="http://schemas.microsoft.com/office/infopath/2007/PartnerControls">
          <TermName xmlns="http://schemas.microsoft.com/office/infopath/2007/PartnerControls">Frjálsi - Samningur um tilgreinda séreign</TermName>
          <TermId xmlns="http://schemas.microsoft.com/office/infopath/2007/PartnerControls">5ac820ca-a759-43b3-adc6-e2ec8699a55d</TermId>
        </TermInfo>
      </Terms>
    </i94340f58d9c463797252a58a74fbc73>
    <glbKennitala1 xmlns="80fb910c-babb-4bfd-9912-d04f91f305dd" xsi:nil="true"/>
    <glbLeynd xmlns="80fb910c-babb-4bfd-9912-d04f91f305dd">Lág</glbLeynd>
    <j4fcab34387d4895869c4f1a02cf3739 xmlns="3bbe397a-f104-41c1-a027-56c503be3da2">
      <Terms xmlns="http://schemas.microsoft.com/office/infopath/2007/PartnerControls">
        <TermInfo xmlns="http://schemas.microsoft.com/office/infopath/2007/PartnerControls">
          <TermName xmlns="http://schemas.microsoft.com/office/infopath/2007/PartnerControls">Lokadags +7 ár</TermName>
          <TermId xmlns="http://schemas.microsoft.com/office/infopath/2007/PartnerControls">6780ba3d-ef1f-4052-94ba-8da1c46d2c94</TermId>
        </TermInfo>
      </Terms>
    </j4fcab34387d4895869c4f1a02cf3739>
    <glbNafn1 xmlns="80fb910c-babb-4bfd-9912-d04f91f305dd" xsi:nil="true"/>
    <TaxCatchAll xmlns="3bbe397a-f104-41c1-a027-56c503be3da2">
      <Value>1493</Value>
      <Value>16</Value>
      <Value>1</Value>
      <Value>4</Value>
    </TaxCatchAll>
    <glbEydingarDagsetning xmlns="80fb910c-babb-4bfd-9912-d04f91f305dd" xsi:nil="true"/>
    <glbSkilyrt xmlns="80fb910c-babb-4bfd-9912-d04f91f305dd">
      <Value>Fyrir einstaklinga</Value>
      <Value>Fyrir eldriborgara</Value>
    </glbSkilyrt>
    <glbKennitala2 xmlns="80fb910c-babb-4bfd-9912-d04f91f305dd" xsi:nil="true"/>
    <glbLokadagsetning xmlns="80fb910c-babb-4bfd-9912-d04f91f305dd" xsi:nil="true"/>
    <TaxKeywordTaxHTField xmlns="3bbe397a-f104-41c1-a027-56c503be3da2">
      <Terms xmlns="http://schemas.microsoft.com/office/infopath/2007/PartnerControls"/>
    </TaxKeywordTaxHTField>
    <glbSkjalaholf xmlns="80fb910c-babb-4bfd-9912-d04f91f305dd">Óskilgreint</glbSkjalaholf>
    <glbUpprunakerfi xmlns="3bbe397a-f104-41c1-a027-56c503be3da2" xsi:nil="true"/>
    <glbTungumal xmlns="80fb910c-babb-4bfd-9912-d04f91f305dd">Íslenska</glbTungumal>
    <glbSnidmatIGildi xmlns="80fb910c-babb-4bfd-9912-d04f91f305dd">true</glbSnidmatIGildi>
    <glbAdrarKennitolur xmlns="80fb910c-babb-4bfd-9912-d04f91f305dd" xsi:nil="true"/>
    <glbKennitolur xmlns="80fb910c-babb-4bfd-9912-d04f91f305dd" xsi:nil="true"/>
    <glbDagsSkjals xmlns="80fb910c-babb-4bfd-9912-d04f91f305dd" xsi:nil="true"/>
    <glbMalanumer xmlns="80fb910c-babb-4bfd-9912-d04f91f305dd" xsi:nil="true"/>
    <d1a7a1bcd69146528a5aaed9a3cced7a xmlns="3bbe397a-f104-41c1-a027-56c503be3da2">
      <Terms xmlns="http://schemas.microsoft.com/office/infopath/2007/PartnerControls"/>
    </d1a7a1bcd69146528a5aaed9a3cced7a>
    <fe34b03587d047fcbde570fc54e706fc xmlns="3bbe397a-f104-41c1-a027-56c503be3da2">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80fb910c-babb-4bfd-9912-d04f91f305dd">MBI</glbMikilvaegi>
    <glbSkjalanumer xmlns="80fb910c-babb-4bfd-9912-d04f91f305dd" xsi:nil="true"/>
    <glbStarfsmannaSkjal xmlns="80fb910c-babb-4bfd-9912-d04f91f305dd">false</glbStarfsmannaSkjal>
    <glbATH xmlns="80fb910c-babb-4bfd-9912-d04f91f305dd" xsi:nil="true"/>
    <glbUtprentunardagsetning xmlns="3bbe397a-f104-41c1-a027-56c503be3da2" xsi:nil="true"/>
    <jf0ab4b1a7174bc88290c5a10b3f8733 xmlns="3bbe397a-f104-41c1-a027-56c503be3da2">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Nafn2 xmlns="80fb910c-babb-4bfd-9912-d04f91f305dd" xsi:nil="true"/>
    <_dlc_DocId xmlns="534d0f36-a7db-4464-a30e-a25dcf1b655d">2X22MJ2TKQED-14-17096</_dlc_DocId>
    <_dlc_DocIdUrl xmlns="534d0f36-a7db-4464-a30e-a25dcf1b655d">
      <Url>https://seifur.arionbanki.is/eydublod/_layouts/15/DocIdRedir.aspx?ID=2X22MJ2TKQED-14-17096</Url>
      <Description>2X22MJ2TKQED-14-17096</Description>
    </_dlc_DocIdUrl>
    <glbKerfisstada xmlns="3bbe397a-f104-41c1-a027-56c503be3da2" xsi:nil="true"/>
    <glbSPPIProf xmlns="3bbe397a-f104-41c1-a027-56c503be3da2">
      <Url xsi:nil="true"/>
      <Description xsi:nil="true"/>
    </glbSPPIProf>
    <glbSPPINidurstada xmlns="3bbe397a-f104-41c1-a027-56c503be3da2">[Velja]</glbSPPINidurstada>
    <glbSPPIskilmalar xmlns="3bbe397a-f104-41c1-a027-56c503be3da2">
      <Url xsi:nil="true"/>
      <Description xsi:nil="true"/>
    </glbSPPIskilmalar>
    <glbVersionsXML xmlns="3bbe397a-f104-41c1-a027-56c503be3da2" xsi:nil="true"/>
    <glbSPPI xmlns="3bbe397a-f104-41c1-a027-56c503be3da2">false</glbSPPI>
    <glbTegundUndirritunar xmlns="3bbe397a-f104-41c1-a027-56c503be3da2" xsi:nil="true"/>
    <glbLandnumer xmlns="3bbe397a-f104-41c1-a027-56c503be3da2" xsi:nil="true"/>
    <glbFastanumer xmlns="3bbe397a-f104-41c1-a027-56c503be3da2" xsi:nil="true"/>
    <glbDagsThinglysingar xmlns="3bbe397a-f104-41c1-a027-56c503be3da2" xsi:nil="true"/>
    <glbthinglysingarnumer xmlns="3bbe397a-f104-41c1-a027-56c503be3da2" xsi:nil="true"/>
    <glbSyslumannsembaetti xmlns="3bbe397a-f104-41c1-a027-56c503be3d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BSkjalVV" ma:contentTypeID="0x0101006586215F2587754F8E025CBCA7E7FFD40100F559B26990B46A49BEE30E242F0D7ADE" ma:contentTypeVersion="229" ma:contentTypeDescription="Grunnskjal fyrir skjöl viðskiptavina" ma:contentTypeScope="" ma:versionID="7625b90b0630899a3648633a60a17fbd">
  <xsd:schema xmlns:xsd="http://www.w3.org/2001/XMLSchema" xmlns:xs="http://www.w3.org/2001/XMLSchema" xmlns:p="http://schemas.microsoft.com/office/2006/metadata/properties" xmlns:ns2="80fb910c-babb-4bfd-9912-d04f91f305dd" xmlns:ns3="3bbe397a-f104-41c1-a027-56c503be3da2" xmlns:ns4="534d0f36-a7db-4464-a30e-a25dcf1b655d" targetNamespace="http://schemas.microsoft.com/office/2006/metadata/properties" ma:root="true" ma:fieldsID="bf05ce4ecc13b8cc8a13b42954272caf" ns2:_="" ns3:_="" ns4:_="">
    <xsd:import namespace="80fb910c-babb-4bfd-9912-d04f91f305dd"/>
    <xsd:import namespace="3bbe397a-f104-41c1-a027-56c503be3da2"/>
    <xsd:import namespace="534d0f36-a7db-4464-a30e-a25dcf1b655d"/>
    <xsd:element name="properties">
      <xsd:complexType>
        <xsd:sequence>
          <xsd:element name="documentManagement">
            <xsd:complexType>
              <xsd:all>
                <xsd:element ref="ns2:glbMikilvaegi" minOccurs="0"/>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3:TaxCatchAll" minOccurs="0"/>
                <xsd:element ref="ns3:d1a7a1bcd69146528a5aaed9a3cced7a" minOccurs="0"/>
                <xsd:element ref="ns3:TaxCatchAllLabel" minOccurs="0"/>
                <xsd:element ref="ns3:j4fcab34387d4895869c4f1a02cf3739" minOccurs="0"/>
                <xsd:element ref="ns3:jf0ab4b1a7174bc88290c5a10b3f8733" minOccurs="0"/>
                <xsd:element ref="ns3:i94340f58d9c463797252a58a74fbc73" minOccurs="0"/>
                <xsd:element ref="ns3:TaxKeywordTaxHTField" minOccurs="0"/>
                <xsd:element ref="ns2:glbMalanumer" minOccurs="0"/>
                <xsd:element ref="ns2:glbSkjalaholf" minOccurs="0"/>
                <xsd:element ref="ns4:_dlc_DocId" minOccurs="0"/>
                <xsd:element ref="ns4:_dlc_DocIdUrl" minOccurs="0"/>
                <xsd:element ref="ns4:_dlc_DocIdPersistId" minOccurs="0"/>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3:fe34b03587d047fcbde570fc54e706fc" minOccurs="0"/>
                <xsd:element ref="ns3:glbUpprunakerfi" minOccurs="0"/>
                <xsd:element ref="ns3:glbUtprentunardagsetning" minOccurs="0"/>
                <xsd:element ref="ns3:glbVersionsXML" minOccurs="0"/>
                <xsd:element ref="ns3:glbSPPI" minOccurs="0"/>
                <xsd:element ref="ns3:glbSPPINidurstada" minOccurs="0"/>
                <xsd:element ref="ns3:glbSPPIProf" minOccurs="0"/>
                <xsd:element ref="ns3:glbSPPIskilmalar" minOccurs="0"/>
                <xsd:element ref="ns3:glbKerfisstada" minOccurs="0"/>
                <xsd:element ref="ns3:glbTegundUndirritunar" minOccurs="0"/>
                <xsd:element ref="ns3:glbthinglysingarnumer" minOccurs="0"/>
                <xsd:element ref="ns3:glbSyslumannsembaetti" minOccurs="0"/>
                <xsd:element ref="ns3:glbFastanumer" minOccurs="0"/>
                <xsd:element ref="ns3:glbLandnumer" minOccurs="0"/>
                <xsd:element ref="ns3:glbDagsThinglysing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b910c-babb-4bfd-9912-d04f91f305dd" elementFormDefault="qualified">
    <xsd:import namespace="http://schemas.microsoft.com/office/2006/documentManagement/types"/>
    <xsd:import namespace="http://schemas.microsoft.com/office/infopath/2007/PartnerControls"/>
    <xsd:element name="glbMikilvaegi" ma:index="9" nillable="true" ma:displayName="Mikilvægi" ma:default="MBI" ma:format="Dropdown" ma:indexed="true" ma:internalName="glbMikilvaegi">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xsd:simpleType>
        <xsd:restriction base="dms:DateTime"/>
      </xsd:simpleType>
    </xsd:element>
    <xsd:element name="glbLeynd" ma:index="15" nillable="true" ma:displayName="Leynd" ma:default="Lág" ma:format="Dropdown" ma:indexed="true" ma:internalName="glbLeynd">
      <xsd:simpleType>
        <xsd:restriction base="dms:Choice">
          <xsd:enumeration value="Lág"/>
          <xsd:enumeration value="Meðal"/>
          <xsd:enumeration value="Há"/>
        </xsd:restriction>
      </xsd:simpleType>
    </xsd:element>
    <xsd:element name="glbATH" ma:index="16" nillable="true" ma:displayName="ATH" ma:internalName="glbATH">
      <xsd:simpleType>
        <xsd:restriction base="dms:Note">
          <xsd:maxLength value="255"/>
        </xsd:restriction>
      </xsd:simpleType>
    </xsd:element>
    <xsd:element name="glbLokadagsetning" ma:index="18" nillable="true" ma:displayName="LokaDagsSkjals" ma:default="[today]" ma:format="DateOnly" ma:internalName="glbLokadagsetning">
      <xsd:simpleType>
        <xsd:restriction base="dms:DateTime"/>
      </xsd:simpleType>
    </xsd:element>
    <xsd:element name="glbSkjalanumer" ma:index="19" nillable="true" ma:displayName="Skjalanúmer" ma:internalName="glbSkjalanumer">
      <xsd:simpleType>
        <xsd:restriction base="dms:Text">
          <xsd:maxLength value="255"/>
        </xsd:restriction>
      </xsd:simpleType>
    </xsd:element>
    <xsd:element name="glbEydingarDagsetning" ma:index="20" nillable="true" ma:displayName="EyðingarDags" ma:format="DateOnly" ma:internalName="glbEydingarDagsetning">
      <xsd:simpleType>
        <xsd:restriction base="dms:DateTime"/>
      </xsd:simpleType>
    </xsd:element>
    <xsd:element name="glbSnidmatIGildi" ma:index="21" nillable="true" ma:displayName="Sniðmát í gildi" ma:default="1" ma:internalName="glbSnidmatIGildi">
      <xsd:simpleType>
        <xsd:restriction base="dms:Boolean"/>
      </xsd:simpleType>
    </xsd:element>
    <xsd:element name="glbMalanumer" ma:index="29" nillable="true" ma:displayName="Málanúmer" ma:internalName="glbMalanumer">
      <xsd:simpleType>
        <xsd:restriction base="dms:Text">
          <xsd:maxLength value="255"/>
        </xsd:restriction>
      </xsd:simpleType>
    </xsd:element>
    <xsd:element name="glbSkjalaholf" ma:index="30" nillable="true" ma:displayName="Skjalahólf" ma:default="Óskilgreint" ma:format="Dropdown" ma:internalName="glbSkjalaholf">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restriction>
      </xsd:simpleType>
    </xsd:element>
    <xsd:element name="glbSkilyrt" ma:index="34" nillable="true" ma:displayName="Skilyrt" ma:internalName="glbSkilyrt">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35" nillable="true" ma:displayName="Kennitala1" ma:internalName="glbKennitala1">
      <xsd:simpleType>
        <xsd:restriction base="dms:Text">
          <xsd:maxLength value="255"/>
        </xsd:restriction>
      </xsd:simpleType>
    </xsd:element>
    <xsd:element name="glbKennitala2" ma:index="36" nillable="true" ma:displayName="Kennitala2" ma:internalName="glbKennitala2">
      <xsd:simpleType>
        <xsd:restriction base="dms:Text">
          <xsd:maxLength value="255"/>
        </xsd:restriction>
      </xsd:simpleType>
    </xsd:element>
    <xsd:element name="glbAdrarKennitolur" ma:index="37" nillable="true" ma:displayName="AðrarKennitölur" ma:internalName="glbAdrarKennitolur">
      <xsd:simpleType>
        <xsd:restriction base="dms:Note">
          <xsd:maxLength value="255"/>
        </xsd:restriction>
      </xsd:simpleType>
    </xsd:element>
    <xsd:element name="glbKennitolur" ma:index="38" nillable="true" ma:displayName="Kennitölur" ma:internalName="glbKennitolur">
      <xsd:simpleType>
        <xsd:restriction base="dms:Text">
          <xsd:maxLength value="255"/>
        </xsd:restriction>
      </xsd:simpleType>
    </xsd:element>
    <xsd:element name="glbNafn1" ma:index="39" nillable="true" ma:displayName="Nafn1" ma:internalName="glbNafn1">
      <xsd:simpleType>
        <xsd:restriction base="dms:Text">
          <xsd:maxLength value="255"/>
        </xsd:restriction>
      </xsd:simpleType>
    </xsd:element>
    <xsd:element name="glbNafn2" ma:index="40" nillable="true" ma:displayName="Nafn2" ma:internalName="glbNafn2">
      <xsd:simpleType>
        <xsd:restriction base="dms:Text">
          <xsd:maxLength value="255"/>
        </xsd:restriction>
      </xsd:simpleType>
    </xsd:element>
    <xsd:element name="glbStarfsmannaSkjal" ma:index="42" nillable="true" ma:displayName="StarfsmannaSkjal" ma:default="0" ma:internalName="glbStarfsmannaSkj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be397a-f104-41c1-a027-56c503be3d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1294e7-f906-4b93-bcb0-5a95ae6b59e9}" ma:internalName="TaxCatchAll" ma:showField="CatchAllData"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d1a7a1bcd69146528a5aaed9a3cced7a" ma:index="23" nillable="true" ma:taxonomy="true" ma:internalName="d1a7a1bcd69146528a5aaed9a3cced7a" ma:taxonomyFieldName="glbEining" ma:displayName="Eining" ma:default="" ma:fieldId="{d1a7a1bc-d691-4652-8a5a-aed9a3cced7a}" ma:sspId="002094dc-769a-4d41-89e6-c6ad4bee6c1c" ma:termSetId="04f22232-5d2d-46df-bb1b-22d51977292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c1294e7-f906-4b93-bcb0-5a95ae6b59e9}" ma:internalName="TaxCatchAllLabel" ma:readOnly="true" ma:showField="CatchAllDataLabel"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25" nillable="true" ma:taxonomy="true" ma:internalName="j4fcab34387d4895869c4f1a02cf3739" ma:taxonomyFieldName="glbGeymsluaaetlun" ma:displayName="Geymsluáætlun" ma:default="" ma:fieldId="{34fcab34-387d-4895-869c-4f1a02cf3739}" ma:sspId="002094dc-769a-4d41-89e6-c6ad4bee6c1c"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26" ma:taxonomy="true" ma:internalName="jf0ab4b1a7174bc88290c5a10b3f8733" ma:taxonomyFieldName="glbSkjalalykill" ma:displayName="Skjalalykill" ma:readOnly="false" ma:default="" ma:fieldId="{3f0ab4b1-a717-4bc8-8290-c5a10b3f8733}" ma:sspId="002094dc-769a-4d41-89e6-c6ad4bee6c1c"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27" nillable="true" ma:taxonomy="true" ma:internalName="i94340f58d9c463797252a58a74fbc73" ma:taxonomyFieldName="glbTegundVVSkjals" ma:displayName="Tegund" ma:indexed="true" ma:default="" ma:fieldId="{294340f5-8d9c-4637-9725-2a58a74fbc73}" ma:sspId="002094dc-769a-4d41-89e6-c6ad4bee6c1c" ma:termSetId="94855115-a605-43e2-9d63-09f66ea60609"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Enterprise Keywords" ma:fieldId="{23f27201-bee3-471e-b2e7-b64fd8b7ca38}" ma:taxonomyMulti="true" ma:sspId="002094dc-769a-4d41-89e6-c6ad4bee6c1c" ma:termSetId="00000000-0000-0000-0000-000000000000" ma:anchorId="00000000-0000-0000-0000-000000000000" ma:open="true" ma:isKeyword="true">
      <xsd:complexType>
        <xsd:sequence>
          <xsd:element ref="pc:Terms" minOccurs="0" maxOccurs="1"/>
        </xsd:sequence>
      </xsd:complexType>
    </xsd:element>
    <xsd:element name="fe34b03587d047fcbde570fc54e706fc" ma:index="43" nillable="true" ma:taxonomy="true" ma:internalName="fe34b03587d047fcbde570fc54e706fc" ma:taxonomyFieldName="glbStadaVV" ma:displayName="Staða" ma:default="1;#Skjal/umsókn í vinnslu|f0160a8e-60d0-41ad-995a-b5aa424730e4" ma:fieldId="{fe34b035-87d0-47fc-bde5-70fc54e706fc}" ma:sspId="002094dc-769a-4d41-89e6-c6ad4bee6c1c" ma:termSetId="d91d9bf0-b904-4314-891c-c74dadd872fa" ma:anchorId="00000000-0000-0000-0000-000000000000" ma:open="false" ma:isKeyword="false">
      <xsd:complexType>
        <xsd:sequence>
          <xsd:element ref="pc:Terms" minOccurs="0" maxOccurs="1"/>
        </xsd:sequence>
      </xsd:complexType>
    </xsd:element>
    <xsd:element name="glbUpprunakerfi" ma:index="44" nillable="true" ma:displayName="Upprunakerfi" ma:description="Kerfið þaðan sem skjalið er upprunnið" ma:internalName="glbUpprunakerfi">
      <xsd:simpleType>
        <xsd:restriction base="dms:Text"/>
      </xsd:simpleType>
    </xsd:element>
    <xsd:element name="glbUtprentunardagsetning" ma:index="45" nillable="true" ma:displayName="Útprentunardagsetning" ma:description="" ma:internalName="glbUtprentunardagsetning">
      <xsd:simpleType>
        <xsd:restriction base="dms:DateTime"/>
      </xsd:simpleType>
    </xsd:element>
    <xsd:element name="glbVersionsXML" ma:index="46" nillable="true" ma:displayName="Version XML" ma:internalName="glbVersionsXML">
      <xsd:simpleType>
        <xsd:restriction base="dms:Note"/>
      </xsd:simpleType>
    </xsd:element>
    <xsd:element name="glbSPPI" ma:index="47" nillable="true" ma:displayName="SPPI" ma:default="0" ma:internalName="glbSPPI">
      <xsd:simpleType>
        <xsd:restriction base="dms:Boolean"/>
      </xsd:simpleType>
    </xsd:element>
    <xsd:element name="glbSPPINidurstada" ma:index="48" nillable="true" ma:displayName="SPPI niðurstaða" ma:default="[Velja]" ma:internalName="glbSPPINidurstada">
      <xsd:simpleType>
        <xsd:restriction base="dms:Choice">
          <xsd:enumeration value="[Velja]"/>
          <xsd:enumeration value="Staðið"/>
          <xsd:enumeration value="Fallið"/>
        </xsd:restriction>
      </xsd:simpleType>
    </xsd:element>
    <xsd:element name="glbSPPIProf" ma:index="49" nillable="true" ma:displayName="SPPI próf" ma:internalName="glbSPPIProf">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50" nillable="true" ma:displayName="SPPI skilmálar" ma:internalName="glbSPPIskilmalar">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51" nillable="true" ma:displayName="Kerfisstaða" ma:description="" ma:internalName="glbKerfisstada">
      <xsd:simpleType>
        <xsd:restriction base="dms:Text"/>
      </xsd:simpleType>
    </xsd:element>
    <xsd:element name="glbTegundUndirritunar" ma:index="52" nillable="true" ma:displayName="Tegund undirritunar" ma:description="" ma:internalName="glbTegundUndirritunar">
      <xsd:simpleType>
        <xsd:restriction base="dms:Note">
          <xsd:maxLength value="255"/>
        </xsd:restriction>
      </xsd:simpleType>
    </xsd:element>
    <xsd:element name="glbthinglysingarnumer" ma:index="53" nillable="true" ma:displayName="Þinglýsingarnúmer" ma:description="Þinglýsingar númer sem þarf að vista sértækt með gagni." ma:internalName="glbthinglysingarnumer">
      <xsd:simpleType>
        <xsd:restriction base="dms:Text"/>
      </xsd:simpleType>
    </xsd:element>
    <xsd:element name="glbSyslumannsembaetti" ma:index="54" nillable="true" ma:displayName="Sýslumannsembætti" ma:description="Sýslumannsembætti sem skjal er unnið hjá." ma:internalName="glbSyslumannsembaetti">
      <xsd:simpleType>
        <xsd:restriction base="dms:Text"/>
      </xsd:simpleType>
    </xsd:element>
    <xsd:element name="glbFastanumer" ma:index="55" nillable="true" ma:displayName="Fastanúmer" ma:description="Þarf að gera ráð fyrir Fastanúmeri í vörslu t.d. fyrir íbúðir eða bílnúmer." ma:internalName="glbFastanumer">
      <xsd:simpleType>
        <xsd:restriction base="dms:Text"/>
      </xsd:simpleType>
    </xsd:element>
    <xsd:element name="glbLandnumer" ma:index="56" nillable="true" ma:displayName="Landnúmer" ma:description="Landnúmeri eignar semJaki er þá lóðarnúmer t.d." ma:internalName="glbLandnumer">
      <xsd:simpleType>
        <xsd:restriction base="dms:Text"/>
      </xsd:simpleType>
    </xsd:element>
    <xsd:element name="glbDagsThinglysingar" ma:index="57" nillable="true" ma:displayName="DagsÞinglýsingar" ma:description="Dagsetningar þinglýsingar – þarf fleiri en eina dagsetningu (sent, móttekið, klárað)? " ma:internalName="glbDagsThinglysinga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d0f36-a7db-4464-a30e-a25dcf1b655d"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02094dc-769a-4d41-89e6-c6ad4bee6c1c" ContentTypeId="0x0101006586215F2587754F8E025CBCA7E7FFD401"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FA75-3E9A-45CC-BA2D-53744874F533}">
  <ds:schemaRefs>
    <ds:schemaRef ds:uri="http://schemas.microsoft.com/sharepoint/v3/contenttype/forms"/>
  </ds:schemaRefs>
</ds:datastoreItem>
</file>

<file path=customXml/itemProps2.xml><?xml version="1.0" encoding="utf-8"?>
<ds:datastoreItem xmlns:ds="http://schemas.openxmlformats.org/officeDocument/2006/customXml" ds:itemID="{BBA5795D-497B-4FA6-B271-B6C9AC289A9D}">
  <ds:schemaRefs>
    <ds:schemaRef ds:uri="http://schemas.microsoft.com/office/2006/metadata/properties"/>
    <ds:schemaRef ds:uri="http://schemas.microsoft.com/office/infopath/2007/PartnerControls"/>
    <ds:schemaRef ds:uri="3bbe397a-f104-41c1-a027-56c503be3da2"/>
    <ds:schemaRef ds:uri="80fb910c-babb-4bfd-9912-d04f91f305dd"/>
    <ds:schemaRef ds:uri="534d0f36-a7db-4464-a30e-a25dcf1b655d"/>
  </ds:schemaRefs>
</ds:datastoreItem>
</file>

<file path=customXml/itemProps3.xml><?xml version="1.0" encoding="utf-8"?>
<ds:datastoreItem xmlns:ds="http://schemas.openxmlformats.org/officeDocument/2006/customXml" ds:itemID="{CD14DF90-64FD-47AD-BECA-30BF1A35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b910c-babb-4bfd-9912-d04f91f305dd"/>
    <ds:schemaRef ds:uri="3bbe397a-f104-41c1-a027-56c503be3da2"/>
    <ds:schemaRef ds:uri="534d0f36-a7db-4464-a30e-a25dcf1b6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373FD-899E-4582-A8EA-2AB0A2ED552B}">
  <ds:schemaRefs>
    <ds:schemaRef ds:uri="Microsoft.SharePoint.Taxonomy.ContentTypeSync"/>
  </ds:schemaRefs>
</ds:datastoreItem>
</file>

<file path=customXml/itemProps5.xml><?xml version="1.0" encoding="utf-8"?>
<ds:datastoreItem xmlns:ds="http://schemas.openxmlformats.org/officeDocument/2006/customXml" ds:itemID="{F043B587-8884-4905-AC32-DEB560E95C40}">
  <ds:schemaRefs>
    <ds:schemaRef ds:uri="http://schemas.microsoft.com/sharepoint/events"/>
  </ds:schemaRefs>
</ds:datastoreItem>
</file>

<file path=customXml/itemProps6.xml><?xml version="1.0" encoding="utf-8"?>
<ds:datastoreItem xmlns:ds="http://schemas.openxmlformats.org/officeDocument/2006/customXml" ds:itemID="{4E0A97CD-5191-4022-ADE9-38A4F9DC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Ásgerður Káradóttir</dc:creator>
  <cp:lastModifiedBy>Ásgerður Káradóttir</cp:lastModifiedBy>
  <cp:revision>8</cp:revision>
  <cp:lastPrinted>2017-06-30T08:42:00Z</cp:lastPrinted>
  <dcterms:created xsi:type="dcterms:W3CDTF">2017-12-29T13:39:00Z</dcterms:created>
  <dcterms:modified xsi:type="dcterms:W3CDTF">2021-03-12T16:04:00Z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-311713528</vt:i4>
  </property>
  <property fmtid="{D5CDD505-2E9C-101B-9397-08002B2CF9AE}" pid="3" name="_NewReviewCycle">
    <vt:lpwstr/>
  </property>
  <property fmtid="{D5CDD505-2E9C-101B-9397-08002B2CF9AE}" pid="4" name="_EmailSubject">
    <vt:lpwstr>Uppfæra tölur í töflum - Frjálsi, LífRang og Líf.bændur og svo Lífeyrisauki sér</vt:lpwstr>
  </property>
  <property fmtid="{D5CDD505-2E9C-101B-9397-08002B2CF9AE}" pid="5" name="_AuthorEmail">
    <vt:lpwstr>asgerdur.karadottir@arionbanki.is</vt:lpwstr>
  </property>
  <property fmtid="{D5CDD505-2E9C-101B-9397-08002B2CF9AE}" pid="6" name="_AuthorEmailDisplayName">
    <vt:lpwstr>Ásgerður Káradóttir</vt:lpwstr>
  </property>
  <property fmtid="{D5CDD505-2E9C-101B-9397-08002B2CF9AE}" pid="7" name="_PreviousAdHocReviewCycleID">
    <vt:i4>289884973</vt:i4>
  </property>
  <property fmtid="{D5CDD505-2E9C-101B-9397-08002B2CF9AE}" pid="8" name="ContentTypeId">
    <vt:lpwstr>0x0101006586215F2587754F8E025CBCA7E7FFD40100F559B26990B46A49BEE30E242F0D7ADE</vt:lpwstr>
  </property>
  <property fmtid="{D5CDD505-2E9C-101B-9397-08002B2CF9AE}" pid="9" name="_dlc_DocIdItemGuid">
    <vt:lpwstr>fd4a6196-5b2c-409e-ad7b-23d2b867b959</vt:lpwstr>
  </property>
  <property fmtid="{D5CDD505-2E9C-101B-9397-08002B2CF9AE}" pid="10" name="TaxKeyword">
    <vt:lpwstr/>
  </property>
  <property fmtid="{D5CDD505-2E9C-101B-9397-08002B2CF9AE}" pid="11" name="glbTegundVVSkjals">
    <vt:lpwstr>1493;#Frjálsi - Samningur um tilgreinda séreign|5ac820ca-a759-43b3-adc6-e2ec8699a55d</vt:lpwstr>
  </property>
  <property fmtid="{D5CDD505-2E9C-101B-9397-08002B2CF9AE}" pid="12" name="glbStadaVV">
    <vt:lpwstr>1;#Skjal/umsókn í vinnslu|f0160a8e-60d0-41ad-995a-b5aa424730e4</vt:lpwstr>
  </property>
  <property fmtid="{D5CDD505-2E9C-101B-9397-08002B2CF9AE}" pid="13" name="glbEining">
    <vt:lpwstr/>
  </property>
  <property fmtid="{D5CDD505-2E9C-101B-9397-08002B2CF9AE}" pid="14" name="glbSkjalalykill">
    <vt:lpwstr>16;#Ávöxtun (23.2.2)|b16c28c1-457d-415b-88f8-13ca2c7d1623</vt:lpwstr>
  </property>
  <property fmtid="{D5CDD505-2E9C-101B-9397-08002B2CF9AE}" pid="15" name="glbGeymsluaaetlun">
    <vt:lpwstr>4;#Lokadags +7 ár|6780ba3d-ef1f-4052-94ba-8da1c46d2c94</vt:lpwstr>
  </property>
  <property fmtid="{D5CDD505-2E9C-101B-9397-08002B2CF9AE}" pid="16" name="WorkflowChangePath">
    <vt:lpwstr>fe129b94-708f-41ce-9e11-080c4ab001b1,5;fe129b94-708f-41ce-9e11-080c4ab001b1,13;fe129b94-708f-41ce-9e11-080c4ab001b1,19;fe129b94-708f-41ce-9e11-080c4ab001b1,24;fe129b94-708f-41ce-9e11-080c4ab001b1,29;fe129b94-708f-41ce-9e11-080c4ab001b1,34;fe129b94-708f-41</vt:lpwstr>
  </property>
  <property fmtid="{D5CDD505-2E9C-101B-9397-08002B2CF9AE}" pid="17" name="Tengist Kerfi">
    <vt:lpwstr>Ytrivefur</vt:lpwstr>
  </property>
  <property fmtid="{D5CDD505-2E9C-101B-9397-08002B2CF9AE}" pid="18" name="_ReviewingToolsShownOnce">
    <vt:lpwstr/>
  </property>
</Properties>
</file>